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8" w:rsidRDefault="00384638" w:rsidP="00DD21D7">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637DA850" wp14:editId="66AEDFF3">
            <wp:simplePos x="0" y="0"/>
            <wp:positionH relativeFrom="column">
              <wp:posOffset>4667250</wp:posOffset>
            </wp:positionH>
            <wp:positionV relativeFrom="paragraph">
              <wp:posOffset>-495300</wp:posOffset>
            </wp:positionV>
            <wp:extent cx="1633855" cy="533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ing Knowle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855"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D519AFE" wp14:editId="4EB3D19F">
            <wp:simplePos x="0" y="0"/>
            <wp:positionH relativeFrom="column">
              <wp:posOffset>-457200</wp:posOffset>
            </wp:positionH>
            <wp:positionV relativeFrom="paragraph">
              <wp:posOffset>-636905</wp:posOffset>
            </wp:positionV>
            <wp:extent cx="3855720" cy="741045"/>
            <wp:effectExtent l="0" t="0" r="0" b="0"/>
            <wp:wrapTopAndBottom/>
            <wp:docPr id="4" name="Picture 4"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868"/>
                    <a:stretch/>
                  </pic:blipFill>
                  <pic:spPr bwMode="auto">
                    <a:xfrm>
                      <a:off x="0" y="0"/>
                      <a:ext cx="3855720"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4638" w:rsidRDefault="00384638" w:rsidP="00DD21D7">
      <w:pPr>
        <w:rPr>
          <w:rFonts w:asciiTheme="minorHAnsi" w:hAnsiTheme="minorHAnsi" w:cstheme="minorHAnsi"/>
          <w:sz w:val="22"/>
          <w:szCs w:val="22"/>
        </w:rPr>
      </w:pPr>
    </w:p>
    <w:p w:rsidR="00DD21D7" w:rsidRDefault="00117E85" w:rsidP="00DD21D7">
      <w:pPr>
        <w:rPr>
          <w:rFonts w:asciiTheme="minorHAnsi" w:hAnsiTheme="minorHAnsi" w:cstheme="minorHAnsi"/>
          <w:sz w:val="22"/>
          <w:szCs w:val="22"/>
        </w:rPr>
      </w:pPr>
      <w:r>
        <w:rPr>
          <w:rFonts w:asciiTheme="minorHAnsi" w:hAnsiTheme="minorHAnsi" w:cstheme="minorHAnsi"/>
          <w:sz w:val="22"/>
          <w:szCs w:val="22"/>
        </w:rPr>
        <w:t xml:space="preserve">March </w:t>
      </w:r>
      <w:r w:rsidR="00494EE4">
        <w:rPr>
          <w:rFonts w:asciiTheme="minorHAnsi" w:hAnsiTheme="minorHAnsi" w:cstheme="minorHAnsi"/>
          <w:sz w:val="22"/>
          <w:szCs w:val="22"/>
        </w:rPr>
        <w:t>1</w:t>
      </w:r>
      <w:r w:rsidR="00055835">
        <w:rPr>
          <w:rFonts w:asciiTheme="minorHAnsi" w:hAnsiTheme="minorHAnsi" w:cstheme="minorHAnsi"/>
          <w:sz w:val="22"/>
          <w:szCs w:val="22"/>
        </w:rPr>
        <w:t>2</w:t>
      </w:r>
      <w:r w:rsidR="00703399">
        <w:rPr>
          <w:rFonts w:asciiTheme="minorHAnsi" w:hAnsiTheme="minorHAnsi" w:cstheme="minorHAnsi"/>
          <w:sz w:val="22"/>
          <w:szCs w:val="22"/>
        </w:rPr>
        <w:t>, 201</w:t>
      </w:r>
      <w:r w:rsidR="00494EE4">
        <w:rPr>
          <w:rFonts w:asciiTheme="minorHAnsi" w:hAnsiTheme="minorHAnsi" w:cstheme="minorHAnsi"/>
          <w:sz w:val="22"/>
          <w:szCs w:val="22"/>
        </w:rPr>
        <w:t>5</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r>
      <w:r w:rsidR="00494EE4">
        <w:rPr>
          <w:rFonts w:asciiTheme="minorHAnsi" w:hAnsiTheme="minorHAnsi" w:cstheme="minorHAnsi"/>
          <w:sz w:val="22"/>
          <w:szCs w:val="22"/>
        </w:rPr>
        <w:t xml:space="preserve">De Gruyter Online </w:t>
      </w:r>
      <w:r w:rsidR="00770927">
        <w:rPr>
          <w:rFonts w:asciiTheme="minorHAnsi" w:hAnsiTheme="minorHAnsi" w:cstheme="minorHAnsi"/>
          <w:sz w:val="22"/>
          <w:szCs w:val="22"/>
        </w:rPr>
        <w:t xml:space="preserve">University Press Ebook Collections, </w:t>
      </w:r>
      <w:r w:rsidR="00703399">
        <w:rPr>
          <w:rFonts w:asciiTheme="minorHAnsi" w:hAnsiTheme="minorHAnsi" w:cstheme="minorHAnsi"/>
          <w:sz w:val="22"/>
          <w:szCs w:val="22"/>
        </w:rPr>
        <w:t>Spring 201</w:t>
      </w:r>
      <w:r w:rsidR="00494EE4">
        <w:rPr>
          <w:rFonts w:asciiTheme="minorHAnsi" w:hAnsiTheme="minorHAnsi" w:cstheme="minorHAnsi"/>
          <w:sz w:val="22"/>
          <w:szCs w:val="22"/>
        </w:rPr>
        <w:t>5</w:t>
      </w:r>
    </w:p>
    <w:p w:rsidR="00B3740C" w:rsidRDefault="00B3740C" w:rsidP="00DD21D7">
      <w:pPr>
        <w:rPr>
          <w:rFonts w:asciiTheme="minorHAnsi" w:hAnsiTheme="minorHAnsi" w:cstheme="minorHAnsi"/>
          <w:sz w:val="22"/>
          <w:szCs w:val="22"/>
        </w:rPr>
      </w:pPr>
    </w:p>
    <w:p w:rsidR="0012019C" w:rsidRDefault="0012019C" w:rsidP="00DD21D7">
      <w:pPr>
        <w:rPr>
          <w:rFonts w:asciiTheme="minorHAnsi" w:hAnsiTheme="minorHAnsi" w:cstheme="minorHAnsi"/>
          <w:sz w:val="22"/>
          <w:szCs w:val="22"/>
        </w:rPr>
      </w:pPr>
    </w:p>
    <w:p w:rsidR="00494EE4" w:rsidRDefault="00B3740C" w:rsidP="00DD21D7">
      <w:pPr>
        <w:rPr>
          <w:rFonts w:asciiTheme="minorHAnsi" w:hAnsiTheme="minorHAnsi" w:cstheme="minorHAnsi"/>
          <w:sz w:val="22"/>
          <w:szCs w:val="22"/>
        </w:rPr>
      </w:pPr>
      <w:r>
        <w:rPr>
          <w:rFonts w:asciiTheme="minorHAnsi" w:hAnsiTheme="minorHAnsi" w:cstheme="minorHAnsi"/>
          <w:sz w:val="22"/>
          <w:szCs w:val="22"/>
        </w:rPr>
        <w:t xml:space="preserve">I am pleased to report that we have completed our negotiations </w:t>
      </w:r>
      <w:r w:rsidR="00D96E22">
        <w:rPr>
          <w:rFonts w:asciiTheme="minorHAnsi" w:hAnsiTheme="minorHAnsi" w:cstheme="minorHAnsi"/>
          <w:sz w:val="22"/>
          <w:szCs w:val="22"/>
        </w:rPr>
        <w:t>on behalf of the Association of Research Libraries for an offer from</w:t>
      </w:r>
      <w:r>
        <w:rPr>
          <w:rFonts w:asciiTheme="minorHAnsi" w:hAnsiTheme="minorHAnsi" w:cstheme="minorHAnsi"/>
          <w:sz w:val="22"/>
          <w:szCs w:val="22"/>
        </w:rPr>
        <w:t xml:space="preserve"> </w:t>
      </w:r>
      <w:r w:rsidR="00770927">
        <w:rPr>
          <w:rFonts w:asciiTheme="minorHAnsi" w:hAnsiTheme="minorHAnsi" w:cstheme="minorHAnsi"/>
          <w:sz w:val="22"/>
          <w:szCs w:val="22"/>
        </w:rPr>
        <w:t>De Gruyter</w:t>
      </w:r>
      <w:r>
        <w:rPr>
          <w:rFonts w:asciiTheme="minorHAnsi" w:hAnsiTheme="minorHAnsi" w:cstheme="minorHAnsi"/>
          <w:sz w:val="22"/>
          <w:szCs w:val="22"/>
        </w:rPr>
        <w:t xml:space="preserve"> </w:t>
      </w:r>
      <w:r w:rsidR="00703399">
        <w:rPr>
          <w:rFonts w:asciiTheme="minorHAnsi" w:hAnsiTheme="minorHAnsi" w:cstheme="minorHAnsi"/>
          <w:sz w:val="22"/>
          <w:szCs w:val="22"/>
        </w:rPr>
        <w:t xml:space="preserve">Online </w:t>
      </w:r>
      <w:r w:rsidR="00D96E22">
        <w:rPr>
          <w:rFonts w:asciiTheme="minorHAnsi" w:hAnsiTheme="minorHAnsi" w:cstheme="minorHAnsi"/>
          <w:sz w:val="22"/>
          <w:szCs w:val="22"/>
        </w:rPr>
        <w:t>for</w:t>
      </w:r>
      <w:r w:rsidR="00494EE4">
        <w:rPr>
          <w:rFonts w:asciiTheme="minorHAnsi" w:hAnsiTheme="minorHAnsi" w:cstheme="minorHAnsi"/>
          <w:sz w:val="22"/>
          <w:szCs w:val="22"/>
        </w:rPr>
        <w:t xml:space="preserve"> frontlist and backlist content from 4 university presses. De Gruyter Online has hosted Harvard University Press eBook content since 2013, and now has 3 additional press partnerships for 2015. </w:t>
      </w:r>
    </w:p>
    <w:p w:rsidR="00494EE4" w:rsidRDefault="00494EE4" w:rsidP="00DD21D7">
      <w:pPr>
        <w:rPr>
          <w:rFonts w:asciiTheme="minorHAnsi" w:hAnsiTheme="minorHAnsi" w:cstheme="minorHAnsi"/>
          <w:sz w:val="22"/>
          <w:szCs w:val="22"/>
        </w:rPr>
      </w:pPr>
    </w:p>
    <w:p w:rsidR="0047713F" w:rsidRDefault="00494EE4" w:rsidP="00DD21D7">
      <w:pPr>
        <w:rPr>
          <w:rFonts w:asciiTheme="minorHAnsi" w:hAnsiTheme="minorHAnsi" w:cstheme="minorHAnsi"/>
          <w:sz w:val="22"/>
          <w:szCs w:val="22"/>
        </w:rPr>
      </w:pPr>
      <w:r>
        <w:rPr>
          <w:rFonts w:asciiTheme="minorHAnsi" w:hAnsiTheme="minorHAnsi" w:cstheme="minorHAnsi"/>
          <w:sz w:val="22"/>
          <w:szCs w:val="22"/>
        </w:rPr>
        <w:t xml:space="preserve">The </w:t>
      </w:r>
      <w:r w:rsidR="0047713F">
        <w:rPr>
          <w:rFonts w:asciiTheme="minorHAnsi" w:hAnsiTheme="minorHAnsi" w:cstheme="minorHAnsi"/>
          <w:sz w:val="22"/>
          <w:szCs w:val="22"/>
        </w:rPr>
        <w:t xml:space="preserve">university press </w:t>
      </w:r>
      <w:r>
        <w:rPr>
          <w:rFonts w:asciiTheme="minorHAnsi" w:hAnsiTheme="minorHAnsi" w:cstheme="minorHAnsi"/>
          <w:sz w:val="22"/>
          <w:szCs w:val="22"/>
        </w:rPr>
        <w:t>collections at De Gruyter Online in 2015 are:</w:t>
      </w:r>
    </w:p>
    <w:p w:rsidR="0047713F" w:rsidRDefault="0047713F" w:rsidP="00DD21D7">
      <w:pPr>
        <w:rPr>
          <w:rFonts w:asciiTheme="minorHAnsi" w:hAnsiTheme="minorHAnsi" w:cstheme="minorHAnsi"/>
          <w:sz w:val="22"/>
          <w:szCs w:val="22"/>
        </w:rPr>
      </w:pPr>
    </w:p>
    <w:tbl>
      <w:tblPr>
        <w:tblW w:w="9890" w:type="dxa"/>
        <w:tblInd w:w="118" w:type="dxa"/>
        <w:tblLook w:val="04A0" w:firstRow="1" w:lastRow="0" w:firstColumn="1" w:lastColumn="0" w:noHBand="0" w:noVBand="1"/>
      </w:tblPr>
      <w:tblGrid>
        <w:gridCol w:w="1430"/>
        <w:gridCol w:w="2160"/>
        <w:gridCol w:w="810"/>
        <w:gridCol w:w="1260"/>
        <w:gridCol w:w="2070"/>
        <w:gridCol w:w="2160"/>
      </w:tblGrid>
      <w:tr w:rsidR="009F7271" w:rsidRPr="0047713F" w:rsidTr="009F7271">
        <w:trPr>
          <w:trHeight w:val="615"/>
        </w:trPr>
        <w:tc>
          <w:tcPr>
            <w:tcW w:w="1430" w:type="dxa"/>
            <w:tcBorders>
              <w:top w:val="single" w:sz="8" w:space="0" w:color="auto"/>
              <w:left w:val="single" w:sz="8" w:space="0" w:color="auto"/>
              <w:bottom w:val="nil"/>
              <w:right w:val="single" w:sz="4" w:space="0" w:color="auto"/>
            </w:tcBorders>
            <w:shd w:val="clear" w:color="auto" w:fill="auto"/>
            <w:noWrap/>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Press</w:t>
            </w:r>
          </w:p>
        </w:tc>
        <w:tc>
          <w:tcPr>
            <w:tcW w:w="2160" w:type="dxa"/>
            <w:tcBorders>
              <w:top w:val="single" w:sz="8" w:space="0" w:color="auto"/>
              <w:left w:val="nil"/>
              <w:bottom w:val="nil"/>
              <w:right w:val="single" w:sz="4" w:space="0" w:color="auto"/>
            </w:tcBorders>
            <w:shd w:val="clear" w:color="auto" w:fill="auto"/>
            <w:noWrap/>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Collection</w:t>
            </w:r>
          </w:p>
        </w:tc>
        <w:tc>
          <w:tcPr>
            <w:tcW w:w="810" w:type="dxa"/>
            <w:tcBorders>
              <w:top w:val="single" w:sz="4" w:space="0" w:color="auto"/>
              <w:left w:val="nil"/>
              <w:bottom w:val="single" w:sz="4" w:space="0" w:color="auto"/>
              <w:right w:val="single" w:sz="4" w:space="0" w:color="auto"/>
            </w:tcBorders>
            <w:vAlign w:val="center"/>
          </w:tcPr>
          <w:p w:rsidR="009F7271" w:rsidRPr="009F7271" w:rsidRDefault="009F7271" w:rsidP="009F7271">
            <w:pPr>
              <w:jc w:val="center"/>
              <w:rPr>
                <w:rFonts w:ascii="Calibri" w:hAnsi="Calibri"/>
                <w:b/>
                <w:bCs/>
                <w:color w:val="000000"/>
                <w:sz w:val="22"/>
                <w:szCs w:val="22"/>
              </w:rPr>
            </w:pPr>
            <w:r w:rsidRPr="009F7271">
              <w:rPr>
                <w:rFonts w:ascii="Calibri" w:hAnsi="Calibri"/>
                <w:b/>
                <w:bCs/>
                <w:color w:val="000000"/>
                <w:sz w:val="22"/>
                <w:szCs w:val="22"/>
              </w:rPr>
              <w:t># Titles</w:t>
            </w:r>
          </w:p>
        </w:tc>
        <w:tc>
          <w:tcPr>
            <w:tcW w:w="1260" w:type="dxa"/>
            <w:tcBorders>
              <w:top w:val="single" w:sz="8" w:space="0" w:color="auto"/>
              <w:left w:val="single" w:sz="4" w:space="0" w:color="auto"/>
              <w:bottom w:val="nil"/>
              <w:right w:val="single" w:sz="4" w:space="0" w:color="auto"/>
            </w:tcBorders>
            <w:shd w:val="clear" w:color="auto" w:fill="auto"/>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Publication Years</w:t>
            </w:r>
          </w:p>
        </w:tc>
        <w:tc>
          <w:tcPr>
            <w:tcW w:w="2070" w:type="dxa"/>
            <w:tcBorders>
              <w:top w:val="single" w:sz="8" w:space="0" w:color="auto"/>
              <w:left w:val="nil"/>
              <w:bottom w:val="nil"/>
              <w:right w:val="single" w:sz="4" w:space="0" w:color="auto"/>
            </w:tcBorders>
            <w:shd w:val="clear" w:color="auto" w:fill="auto"/>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Content now available at De G</w:t>
            </w:r>
            <w:r>
              <w:rPr>
                <w:rFonts w:ascii="Calibri" w:hAnsi="Calibri"/>
                <w:b/>
                <w:bCs/>
                <w:color w:val="000000"/>
                <w:sz w:val="22"/>
                <w:szCs w:val="22"/>
              </w:rPr>
              <w:t>ruyter</w:t>
            </w:r>
            <w:r w:rsidRPr="0047713F">
              <w:rPr>
                <w:rFonts w:ascii="Calibri" w:hAnsi="Calibri"/>
                <w:b/>
                <w:bCs/>
                <w:color w:val="000000"/>
                <w:sz w:val="22"/>
                <w:szCs w:val="22"/>
              </w:rPr>
              <w:t xml:space="preserve"> Online?</w:t>
            </w:r>
          </w:p>
        </w:tc>
        <w:tc>
          <w:tcPr>
            <w:tcW w:w="2160" w:type="dxa"/>
            <w:tcBorders>
              <w:top w:val="single" w:sz="8" w:space="0" w:color="auto"/>
              <w:left w:val="nil"/>
              <w:bottom w:val="nil"/>
              <w:right w:val="single" w:sz="8" w:space="0" w:color="auto"/>
            </w:tcBorders>
            <w:shd w:val="clear" w:color="auto" w:fill="auto"/>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 xml:space="preserve">MARC records now available from De Gruyter? </w:t>
            </w:r>
          </w:p>
        </w:tc>
      </w:tr>
      <w:tr w:rsidR="009F7271" w:rsidRPr="0047713F" w:rsidTr="009F7271">
        <w:trPr>
          <w:trHeight w:val="600"/>
        </w:trPr>
        <w:tc>
          <w:tcPr>
            <w:tcW w:w="1430" w:type="dxa"/>
            <w:vMerge w:val="restart"/>
            <w:tcBorders>
              <w:top w:val="single" w:sz="8" w:space="0" w:color="auto"/>
              <w:left w:val="single" w:sz="8" w:space="0" w:color="auto"/>
              <w:bottom w:val="single" w:sz="8" w:space="0" w:color="000000"/>
              <w:right w:val="single" w:sz="4" w:space="0" w:color="auto"/>
            </w:tcBorders>
            <w:shd w:val="clear" w:color="000000" w:fill="FFD5D5"/>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Harvard University Press</w:t>
            </w:r>
          </w:p>
        </w:tc>
        <w:tc>
          <w:tcPr>
            <w:tcW w:w="2160" w:type="dxa"/>
            <w:tcBorders>
              <w:top w:val="single" w:sz="8" w:space="0" w:color="auto"/>
              <w:left w:val="nil"/>
              <w:bottom w:val="single" w:sz="4" w:space="0" w:color="auto"/>
              <w:right w:val="single" w:sz="4"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Frontlist (for libraries that purchased the 2014 collection)</w:t>
            </w:r>
          </w:p>
        </w:tc>
        <w:tc>
          <w:tcPr>
            <w:tcW w:w="810" w:type="dxa"/>
            <w:tcBorders>
              <w:top w:val="single" w:sz="4" w:space="0" w:color="auto"/>
              <w:left w:val="nil"/>
              <w:bottom w:val="single" w:sz="4" w:space="0" w:color="auto"/>
              <w:right w:val="single" w:sz="4" w:space="0" w:color="auto"/>
            </w:tcBorders>
            <w:shd w:val="clear" w:color="000000" w:fill="FFD5D5"/>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60</w:t>
            </w:r>
          </w:p>
        </w:tc>
        <w:tc>
          <w:tcPr>
            <w:tcW w:w="1260" w:type="dxa"/>
            <w:tcBorders>
              <w:top w:val="single" w:sz="8" w:space="0" w:color="auto"/>
              <w:left w:val="single" w:sz="4" w:space="0" w:color="auto"/>
              <w:bottom w:val="single" w:sz="4" w:space="0" w:color="auto"/>
              <w:right w:val="single" w:sz="4" w:space="0" w:color="auto"/>
            </w:tcBorders>
            <w:shd w:val="clear" w:color="000000" w:fill="FFD5D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2015</w:t>
            </w:r>
          </w:p>
        </w:tc>
        <w:tc>
          <w:tcPr>
            <w:tcW w:w="2070" w:type="dxa"/>
            <w:tcBorders>
              <w:top w:val="single" w:sz="8" w:space="0" w:color="auto"/>
              <w:left w:val="nil"/>
              <w:bottom w:val="single" w:sz="4" w:space="0" w:color="auto"/>
              <w:right w:val="single" w:sz="4"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Forthcoming collection</w:t>
            </w:r>
          </w:p>
        </w:tc>
        <w:tc>
          <w:tcPr>
            <w:tcW w:w="2160" w:type="dxa"/>
            <w:tcBorders>
              <w:top w:val="single" w:sz="8" w:space="0" w:color="auto"/>
              <w:left w:val="nil"/>
              <w:bottom w:val="single" w:sz="4" w:space="0" w:color="auto"/>
              <w:right w:val="single" w:sz="8"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Forthcoming as titles are loaded</w:t>
            </w:r>
          </w:p>
        </w:tc>
      </w:tr>
      <w:tr w:rsidR="009F7271" w:rsidRPr="0047713F" w:rsidTr="009F7271">
        <w:trPr>
          <w:trHeight w:val="300"/>
        </w:trPr>
        <w:tc>
          <w:tcPr>
            <w:tcW w:w="1430" w:type="dxa"/>
            <w:vMerge/>
            <w:tcBorders>
              <w:top w:val="single" w:sz="8" w:space="0" w:color="auto"/>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4" w:space="0" w:color="auto"/>
              <w:right w:val="single" w:sz="4" w:space="0" w:color="auto"/>
            </w:tcBorders>
            <w:shd w:val="clear" w:color="000000" w:fill="FFD5D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Frontlist </w:t>
            </w:r>
          </w:p>
        </w:tc>
        <w:tc>
          <w:tcPr>
            <w:tcW w:w="810" w:type="dxa"/>
            <w:tcBorders>
              <w:top w:val="single" w:sz="4" w:space="0" w:color="auto"/>
              <w:left w:val="nil"/>
              <w:bottom w:val="single" w:sz="4" w:space="0" w:color="auto"/>
              <w:right w:val="single" w:sz="4" w:space="0" w:color="auto"/>
            </w:tcBorders>
            <w:shd w:val="clear" w:color="000000" w:fill="FFD5D5"/>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202</w:t>
            </w:r>
          </w:p>
        </w:tc>
        <w:tc>
          <w:tcPr>
            <w:tcW w:w="1260" w:type="dxa"/>
            <w:tcBorders>
              <w:top w:val="nil"/>
              <w:left w:val="single" w:sz="4" w:space="0" w:color="auto"/>
              <w:bottom w:val="single" w:sz="4" w:space="0" w:color="auto"/>
              <w:right w:val="single" w:sz="4" w:space="0" w:color="auto"/>
            </w:tcBorders>
            <w:shd w:val="clear" w:color="000000" w:fill="FFD5D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2014-2015</w:t>
            </w:r>
          </w:p>
        </w:tc>
        <w:tc>
          <w:tcPr>
            <w:tcW w:w="2070" w:type="dxa"/>
            <w:tcBorders>
              <w:top w:val="nil"/>
              <w:left w:val="nil"/>
              <w:bottom w:val="single" w:sz="4" w:space="0" w:color="auto"/>
              <w:right w:val="single" w:sz="4"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c>
          <w:tcPr>
            <w:tcW w:w="2160" w:type="dxa"/>
            <w:tcBorders>
              <w:top w:val="nil"/>
              <w:left w:val="nil"/>
              <w:bottom w:val="single" w:sz="4" w:space="0" w:color="auto"/>
              <w:right w:val="single" w:sz="8"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r>
      <w:tr w:rsidR="009F7271" w:rsidRPr="0047713F" w:rsidTr="009F7271">
        <w:trPr>
          <w:trHeight w:val="300"/>
        </w:trPr>
        <w:tc>
          <w:tcPr>
            <w:tcW w:w="1430" w:type="dxa"/>
            <w:vMerge/>
            <w:tcBorders>
              <w:top w:val="single" w:sz="8" w:space="0" w:color="auto"/>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4" w:space="0" w:color="auto"/>
              <w:right w:val="single" w:sz="4" w:space="0" w:color="auto"/>
            </w:tcBorders>
            <w:shd w:val="clear" w:color="000000" w:fill="FFD5D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Backlist </w:t>
            </w:r>
          </w:p>
        </w:tc>
        <w:tc>
          <w:tcPr>
            <w:tcW w:w="810" w:type="dxa"/>
            <w:tcBorders>
              <w:top w:val="single" w:sz="4" w:space="0" w:color="auto"/>
              <w:left w:val="nil"/>
              <w:bottom w:val="single" w:sz="4" w:space="0" w:color="auto"/>
              <w:right w:val="single" w:sz="4" w:space="0" w:color="auto"/>
            </w:tcBorders>
            <w:shd w:val="clear" w:color="000000" w:fill="FFD5D5"/>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637</w:t>
            </w:r>
          </w:p>
        </w:tc>
        <w:tc>
          <w:tcPr>
            <w:tcW w:w="1260" w:type="dxa"/>
            <w:tcBorders>
              <w:top w:val="nil"/>
              <w:left w:val="single" w:sz="4" w:space="0" w:color="auto"/>
              <w:bottom w:val="single" w:sz="4" w:space="0" w:color="auto"/>
              <w:right w:val="single" w:sz="4" w:space="0" w:color="auto"/>
            </w:tcBorders>
            <w:shd w:val="clear" w:color="000000" w:fill="FFD5D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2005-2013</w:t>
            </w:r>
          </w:p>
        </w:tc>
        <w:tc>
          <w:tcPr>
            <w:tcW w:w="2070" w:type="dxa"/>
            <w:tcBorders>
              <w:top w:val="nil"/>
              <w:left w:val="nil"/>
              <w:bottom w:val="single" w:sz="4" w:space="0" w:color="auto"/>
              <w:right w:val="single" w:sz="4"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c>
          <w:tcPr>
            <w:tcW w:w="2160" w:type="dxa"/>
            <w:tcBorders>
              <w:top w:val="nil"/>
              <w:left w:val="nil"/>
              <w:bottom w:val="single" w:sz="4" w:space="0" w:color="auto"/>
              <w:right w:val="single" w:sz="8"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r>
      <w:tr w:rsidR="009F7271" w:rsidRPr="0047713F" w:rsidTr="009F7271">
        <w:trPr>
          <w:trHeight w:val="315"/>
        </w:trPr>
        <w:tc>
          <w:tcPr>
            <w:tcW w:w="1430" w:type="dxa"/>
            <w:vMerge/>
            <w:tcBorders>
              <w:top w:val="single" w:sz="8" w:space="0" w:color="auto"/>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8" w:space="0" w:color="auto"/>
              <w:right w:val="single" w:sz="4" w:space="0" w:color="auto"/>
            </w:tcBorders>
            <w:shd w:val="clear" w:color="000000" w:fill="FFD5D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Archive</w:t>
            </w:r>
          </w:p>
        </w:tc>
        <w:tc>
          <w:tcPr>
            <w:tcW w:w="810" w:type="dxa"/>
            <w:tcBorders>
              <w:top w:val="single" w:sz="4" w:space="0" w:color="auto"/>
              <w:left w:val="nil"/>
              <w:bottom w:val="single" w:sz="4" w:space="0" w:color="auto"/>
              <w:right w:val="single" w:sz="4" w:space="0" w:color="auto"/>
            </w:tcBorders>
            <w:shd w:val="clear" w:color="000000" w:fill="FFD5D5"/>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2794</w:t>
            </w:r>
          </w:p>
        </w:tc>
        <w:tc>
          <w:tcPr>
            <w:tcW w:w="1260" w:type="dxa"/>
            <w:tcBorders>
              <w:top w:val="nil"/>
              <w:left w:val="single" w:sz="4" w:space="0" w:color="auto"/>
              <w:bottom w:val="single" w:sz="8" w:space="0" w:color="auto"/>
              <w:right w:val="single" w:sz="4" w:space="0" w:color="auto"/>
            </w:tcBorders>
            <w:shd w:val="clear" w:color="000000" w:fill="FFD5D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1896-2004</w:t>
            </w:r>
          </w:p>
        </w:tc>
        <w:tc>
          <w:tcPr>
            <w:tcW w:w="2070" w:type="dxa"/>
            <w:tcBorders>
              <w:top w:val="nil"/>
              <w:left w:val="nil"/>
              <w:bottom w:val="single" w:sz="8" w:space="0" w:color="auto"/>
              <w:right w:val="single" w:sz="4"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c>
          <w:tcPr>
            <w:tcW w:w="2160" w:type="dxa"/>
            <w:tcBorders>
              <w:top w:val="nil"/>
              <w:left w:val="nil"/>
              <w:bottom w:val="single" w:sz="8" w:space="0" w:color="auto"/>
              <w:right w:val="single" w:sz="8" w:space="0" w:color="auto"/>
            </w:tcBorders>
            <w:shd w:val="clear" w:color="000000" w:fill="FFD5D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r>
      <w:tr w:rsidR="009F7271" w:rsidRPr="0047713F" w:rsidTr="009F7271">
        <w:trPr>
          <w:trHeight w:val="300"/>
        </w:trPr>
        <w:tc>
          <w:tcPr>
            <w:tcW w:w="1430" w:type="dxa"/>
            <w:vMerge w:val="restart"/>
            <w:tcBorders>
              <w:top w:val="nil"/>
              <w:left w:val="single" w:sz="8" w:space="0" w:color="auto"/>
              <w:bottom w:val="single" w:sz="8" w:space="0" w:color="000000"/>
              <w:right w:val="single" w:sz="4" w:space="0" w:color="auto"/>
            </w:tcBorders>
            <w:shd w:val="clear" w:color="000000" w:fill="F1F7ED"/>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Columbia University Press</w:t>
            </w:r>
          </w:p>
        </w:tc>
        <w:tc>
          <w:tcPr>
            <w:tcW w:w="2160" w:type="dxa"/>
            <w:tcBorders>
              <w:top w:val="nil"/>
              <w:left w:val="nil"/>
              <w:bottom w:val="single" w:sz="4" w:space="0" w:color="auto"/>
              <w:right w:val="single" w:sz="4" w:space="0" w:color="auto"/>
            </w:tcBorders>
            <w:shd w:val="clear" w:color="000000" w:fill="F1F7ED"/>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Frontlist </w:t>
            </w:r>
          </w:p>
        </w:tc>
        <w:tc>
          <w:tcPr>
            <w:tcW w:w="810" w:type="dxa"/>
            <w:tcBorders>
              <w:top w:val="single" w:sz="4" w:space="0" w:color="auto"/>
              <w:left w:val="nil"/>
              <w:bottom w:val="single" w:sz="4" w:space="0" w:color="auto"/>
              <w:right w:val="single" w:sz="4" w:space="0" w:color="auto"/>
            </w:tcBorders>
            <w:shd w:val="clear" w:color="000000" w:fill="F1F7ED"/>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257</w:t>
            </w:r>
          </w:p>
        </w:tc>
        <w:tc>
          <w:tcPr>
            <w:tcW w:w="1260" w:type="dxa"/>
            <w:tcBorders>
              <w:top w:val="nil"/>
              <w:left w:val="single" w:sz="4" w:space="0" w:color="auto"/>
              <w:bottom w:val="single" w:sz="4" w:space="0" w:color="auto"/>
              <w:right w:val="single" w:sz="4" w:space="0" w:color="auto"/>
            </w:tcBorders>
            <w:shd w:val="clear" w:color="000000" w:fill="F1F7ED"/>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2014-2015</w:t>
            </w:r>
          </w:p>
        </w:tc>
        <w:tc>
          <w:tcPr>
            <w:tcW w:w="2070" w:type="dxa"/>
            <w:tcBorders>
              <w:top w:val="nil"/>
              <w:left w:val="nil"/>
              <w:bottom w:val="single" w:sz="4" w:space="0" w:color="auto"/>
              <w:right w:val="single" w:sz="4" w:space="0" w:color="auto"/>
            </w:tcBorders>
            <w:shd w:val="clear" w:color="000000" w:fill="F1F7ED"/>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expected by April 1</w:t>
            </w:r>
          </w:p>
        </w:tc>
        <w:tc>
          <w:tcPr>
            <w:tcW w:w="2160" w:type="dxa"/>
            <w:tcBorders>
              <w:top w:val="nil"/>
              <w:left w:val="nil"/>
              <w:bottom w:val="single" w:sz="4" w:space="0" w:color="auto"/>
              <w:right w:val="single" w:sz="8" w:space="0" w:color="auto"/>
            </w:tcBorders>
            <w:shd w:val="clear" w:color="000000" w:fill="F1F7ED"/>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expected by April 1</w:t>
            </w:r>
          </w:p>
        </w:tc>
      </w:tr>
      <w:tr w:rsidR="009F7271" w:rsidRPr="0047713F" w:rsidTr="009F7271">
        <w:trPr>
          <w:trHeight w:val="315"/>
        </w:trPr>
        <w:tc>
          <w:tcPr>
            <w:tcW w:w="1430" w:type="dxa"/>
            <w:vMerge/>
            <w:tcBorders>
              <w:top w:val="nil"/>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8" w:space="0" w:color="auto"/>
              <w:right w:val="single" w:sz="4" w:space="0" w:color="auto"/>
            </w:tcBorders>
            <w:shd w:val="clear" w:color="000000" w:fill="F1F7ED"/>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Backlist </w:t>
            </w:r>
          </w:p>
        </w:tc>
        <w:tc>
          <w:tcPr>
            <w:tcW w:w="810" w:type="dxa"/>
            <w:tcBorders>
              <w:top w:val="single" w:sz="4" w:space="0" w:color="auto"/>
              <w:left w:val="nil"/>
              <w:bottom w:val="single" w:sz="4" w:space="0" w:color="auto"/>
              <w:right w:val="single" w:sz="4" w:space="0" w:color="auto"/>
            </w:tcBorders>
            <w:shd w:val="clear" w:color="000000" w:fill="F1F7ED"/>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896</w:t>
            </w:r>
          </w:p>
        </w:tc>
        <w:tc>
          <w:tcPr>
            <w:tcW w:w="1260" w:type="dxa"/>
            <w:tcBorders>
              <w:top w:val="nil"/>
              <w:left w:val="single" w:sz="4" w:space="0" w:color="auto"/>
              <w:bottom w:val="single" w:sz="8" w:space="0" w:color="auto"/>
              <w:right w:val="single" w:sz="4" w:space="0" w:color="auto"/>
            </w:tcBorders>
            <w:shd w:val="clear" w:color="000000" w:fill="F1F7ED"/>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2000-2013</w:t>
            </w:r>
          </w:p>
        </w:tc>
        <w:tc>
          <w:tcPr>
            <w:tcW w:w="2070" w:type="dxa"/>
            <w:tcBorders>
              <w:top w:val="nil"/>
              <w:left w:val="nil"/>
              <w:bottom w:val="single" w:sz="8" w:space="0" w:color="auto"/>
              <w:right w:val="single" w:sz="4" w:space="0" w:color="auto"/>
            </w:tcBorders>
            <w:shd w:val="clear" w:color="000000" w:fill="F1F7ED"/>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expected by April 1</w:t>
            </w:r>
          </w:p>
        </w:tc>
        <w:tc>
          <w:tcPr>
            <w:tcW w:w="2160" w:type="dxa"/>
            <w:tcBorders>
              <w:top w:val="nil"/>
              <w:left w:val="nil"/>
              <w:bottom w:val="single" w:sz="8" w:space="0" w:color="auto"/>
              <w:right w:val="single" w:sz="8" w:space="0" w:color="auto"/>
            </w:tcBorders>
            <w:shd w:val="clear" w:color="000000" w:fill="F1F7ED"/>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expected by April 1</w:t>
            </w:r>
          </w:p>
        </w:tc>
      </w:tr>
      <w:tr w:rsidR="009F7271" w:rsidRPr="0047713F" w:rsidTr="009F7271">
        <w:trPr>
          <w:trHeight w:val="300"/>
        </w:trPr>
        <w:tc>
          <w:tcPr>
            <w:tcW w:w="1430" w:type="dxa"/>
            <w:vMerge w:val="restart"/>
            <w:tcBorders>
              <w:top w:val="nil"/>
              <w:left w:val="single" w:sz="8" w:space="0" w:color="auto"/>
              <w:bottom w:val="single" w:sz="8" w:space="0" w:color="000000"/>
              <w:right w:val="single" w:sz="4" w:space="0" w:color="auto"/>
            </w:tcBorders>
            <w:shd w:val="clear" w:color="000000" w:fill="FFF8E5"/>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Princeton University Press</w:t>
            </w:r>
          </w:p>
        </w:tc>
        <w:tc>
          <w:tcPr>
            <w:tcW w:w="2160" w:type="dxa"/>
            <w:tcBorders>
              <w:top w:val="nil"/>
              <w:left w:val="nil"/>
              <w:bottom w:val="single" w:sz="4" w:space="0" w:color="auto"/>
              <w:right w:val="single" w:sz="4" w:space="0" w:color="auto"/>
            </w:tcBorders>
            <w:shd w:val="clear" w:color="000000" w:fill="FFF8E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Frontlist</w:t>
            </w:r>
          </w:p>
        </w:tc>
        <w:tc>
          <w:tcPr>
            <w:tcW w:w="810" w:type="dxa"/>
            <w:tcBorders>
              <w:top w:val="single" w:sz="4" w:space="0" w:color="auto"/>
              <w:left w:val="nil"/>
              <w:bottom w:val="single" w:sz="4" w:space="0" w:color="auto"/>
              <w:right w:val="single" w:sz="4" w:space="0" w:color="auto"/>
            </w:tcBorders>
            <w:shd w:val="clear" w:color="000000" w:fill="FFF8E5"/>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165</w:t>
            </w:r>
          </w:p>
        </w:tc>
        <w:tc>
          <w:tcPr>
            <w:tcW w:w="1260" w:type="dxa"/>
            <w:tcBorders>
              <w:top w:val="nil"/>
              <w:left w:val="single" w:sz="4" w:space="0" w:color="auto"/>
              <w:bottom w:val="single" w:sz="4" w:space="0" w:color="auto"/>
              <w:right w:val="single" w:sz="4" w:space="0" w:color="auto"/>
            </w:tcBorders>
            <w:shd w:val="clear" w:color="000000" w:fill="FFF8E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2014-2015</w:t>
            </w:r>
          </w:p>
        </w:tc>
        <w:tc>
          <w:tcPr>
            <w:tcW w:w="2070" w:type="dxa"/>
            <w:tcBorders>
              <w:top w:val="nil"/>
              <w:left w:val="nil"/>
              <w:bottom w:val="single" w:sz="4" w:space="0" w:color="auto"/>
              <w:right w:val="single" w:sz="4" w:space="0" w:color="auto"/>
            </w:tcBorders>
            <w:shd w:val="clear" w:color="000000" w:fill="FFF8E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c>
          <w:tcPr>
            <w:tcW w:w="2160" w:type="dxa"/>
            <w:tcBorders>
              <w:top w:val="nil"/>
              <w:left w:val="nil"/>
              <w:bottom w:val="single" w:sz="4" w:space="0" w:color="auto"/>
              <w:right w:val="single" w:sz="8" w:space="0" w:color="auto"/>
            </w:tcBorders>
            <w:shd w:val="clear" w:color="000000" w:fill="FFF8E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r>
      <w:tr w:rsidR="009F7271" w:rsidRPr="0047713F" w:rsidTr="009F7271">
        <w:trPr>
          <w:trHeight w:val="300"/>
        </w:trPr>
        <w:tc>
          <w:tcPr>
            <w:tcW w:w="1430" w:type="dxa"/>
            <w:vMerge/>
            <w:tcBorders>
              <w:top w:val="nil"/>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4" w:space="0" w:color="auto"/>
              <w:right w:val="single" w:sz="4" w:space="0" w:color="auto"/>
            </w:tcBorders>
            <w:shd w:val="clear" w:color="000000" w:fill="FFF8E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Backlist </w:t>
            </w:r>
          </w:p>
        </w:tc>
        <w:tc>
          <w:tcPr>
            <w:tcW w:w="810" w:type="dxa"/>
            <w:tcBorders>
              <w:top w:val="single" w:sz="4" w:space="0" w:color="auto"/>
              <w:left w:val="nil"/>
              <w:bottom w:val="single" w:sz="4" w:space="0" w:color="auto"/>
              <w:right w:val="single" w:sz="4" w:space="0" w:color="auto"/>
            </w:tcBorders>
            <w:shd w:val="clear" w:color="000000" w:fill="FFF8E5"/>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1584</w:t>
            </w:r>
          </w:p>
        </w:tc>
        <w:tc>
          <w:tcPr>
            <w:tcW w:w="1260" w:type="dxa"/>
            <w:tcBorders>
              <w:top w:val="nil"/>
              <w:left w:val="single" w:sz="4" w:space="0" w:color="auto"/>
              <w:bottom w:val="single" w:sz="4" w:space="0" w:color="auto"/>
              <w:right w:val="single" w:sz="4" w:space="0" w:color="auto"/>
            </w:tcBorders>
            <w:shd w:val="clear" w:color="000000" w:fill="FFF8E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2000-2013</w:t>
            </w:r>
          </w:p>
        </w:tc>
        <w:tc>
          <w:tcPr>
            <w:tcW w:w="2070" w:type="dxa"/>
            <w:tcBorders>
              <w:top w:val="nil"/>
              <w:left w:val="nil"/>
              <w:bottom w:val="single" w:sz="4" w:space="0" w:color="auto"/>
              <w:right w:val="single" w:sz="4" w:space="0" w:color="auto"/>
            </w:tcBorders>
            <w:shd w:val="clear" w:color="000000" w:fill="FFF8E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c>
          <w:tcPr>
            <w:tcW w:w="2160" w:type="dxa"/>
            <w:tcBorders>
              <w:top w:val="nil"/>
              <w:left w:val="nil"/>
              <w:bottom w:val="single" w:sz="4" w:space="0" w:color="auto"/>
              <w:right w:val="single" w:sz="8" w:space="0" w:color="auto"/>
            </w:tcBorders>
            <w:shd w:val="clear" w:color="000000" w:fill="FFF8E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r>
      <w:tr w:rsidR="009F7271" w:rsidRPr="0047713F" w:rsidTr="009F7271">
        <w:trPr>
          <w:trHeight w:val="915"/>
        </w:trPr>
        <w:tc>
          <w:tcPr>
            <w:tcW w:w="1430" w:type="dxa"/>
            <w:vMerge/>
            <w:tcBorders>
              <w:top w:val="nil"/>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8" w:space="0" w:color="auto"/>
              <w:right w:val="single" w:sz="4" w:space="0" w:color="auto"/>
            </w:tcBorders>
            <w:shd w:val="clear" w:color="000000" w:fill="FFF8E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Archive </w:t>
            </w:r>
          </w:p>
        </w:tc>
        <w:tc>
          <w:tcPr>
            <w:tcW w:w="810" w:type="dxa"/>
            <w:tcBorders>
              <w:top w:val="single" w:sz="4" w:space="0" w:color="auto"/>
              <w:left w:val="nil"/>
              <w:bottom w:val="single" w:sz="4" w:space="0" w:color="auto"/>
              <w:right w:val="single" w:sz="4" w:space="0" w:color="auto"/>
            </w:tcBorders>
            <w:shd w:val="clear" w:color="000000" w:fill="FFF8E5"/>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3278</w:t>
            </w:r>
          </w:p>
        </w:tc>
        <w:tc>
          <w:tcPr>
            <w:tcW w:w="1260" w:type="dxa"/>
            <w:tcBorders>
              <w:top w:val="nil"/>
              <w:left w:val="single" w:sz="4" w:space="0" w:color="auto"/>
              <w:bottom w:val="single" w:sz="8" w:space="0" w:color="auto"/>
              <w:right w:val="single" w:sz="4" w:space="0" w:color="auto"/>
            </w:tcBorders>
            <w:shd w:val="clear" w:color="000000" w:fill="FFF8E5"/>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1931-1999</w:t>
            </w:r>
          </w:p>
        </w:tc>
        <w:tc>
          <w:tcPr>
            <w:tcW w:w="2070" w:type="dxa"/>
            <w:tcBorders>
              <w:top w:val="nil"/>
              <w:left w:val="nil"/>
              <w:bottom w:val="single" w:sz="8" w:space="0" w:color="auto"/>
              <w:right w:val="single" w:sz="4" w:space="0" w:color="auto"/>
            </w:tcBorders>
            <w:shd w:val="clear" w:color="000000" w:fill="FFF8E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40% is available now, remaining 60% coming over next two years. Pre-pub pricing now.</w:t>
            </w:r>
          </w:p>
        </w:tc>
        <w:tc>
          <w:tcPr>
            <w:tcW w:w="2160" w:type="dxa"/>
            <w:tcBorders>
              <w:top w:val="nil"/>
              <w:left w:val="nil"/>
              <w:bottom w:val="single" w:sz="8" w:space="0" w:color="auto"/>
              <w:right w:val="single" w:sz="8" w:space="0" w:color="auto"/>
            </w:tcBorders>
            <w:shd w:val="clear" w:color="000000" w:fill="FFF8E5"/>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records for the titles available now (40% of whole collection) expected by April 1</w:t>
            </w:r>
          </w:p>
        </w:tc>
      </w:tr>
      <w:tr w:rsidR="009F7271" w:rsidRPr="0047713F" w:rsidTr="009F7271">
        <w:trPr>
          <w:trHeight w:val="300"/>
        </w:trPr>
        <w:tc>
          <w:tcPr>
            <w:tcW w:w="1430" w:type="dxa"/>
            <w:vMerge w:val="restart"/>
            <w:tcBorders>
              <w:top w:val="nil"/>
              <w:left w:val="single" w:sz="8" w:space="0" w:color="auto"/>
              <w:bottom w:val="single" w:sz="8" w:space="0" w:color="000000"/>
              <w:right w:val="single" w:sz="4" w:space="0" w:color="auto"/>
            </w:tcBorders>
            <w:shd w:val="clear" w:color="000000" w:fill="F2F7FC"/>
            <w:vAlign w:val="center"/>
            <w:hideMark/>
          </w:tcPr>
          <w:p w:rsidR="009F7271" w:rsidRPr="0047713F" w:rsidRDefault="009F7271" w:rsidP="0047713F">
            <w:pPr>
              <w:jc w:val="center"/>
              <w:rPr>
                <w:rFonts w:ascii="Calibri" w:hAnsi="Calibri"/>
                <w:b/>
                <w:bCs/>
                <w:color w:val="000000"/>
                <w:sz w:val="22"/>
                <w:szCs w:val="22"/>
              </w:rPr>
            </w:pPr>
            <w:r w:rsidRPr="0047713F">
              <w:rPr>
                <w:rFonts w:ascii="Calibri" w:hAnsi="Calibri"/>
                <w:b/>
                <w:bCs/>
                <w:color w:val="000000"/>
                <w:sz w:val="22"/>
                <w:szCs w:val="22"/>
              </w:rPr>
              <w:t>University of Pennsylvania Press</w:t>
            </w:r>
          </w:p>
        </w:tc>
        <w:tc>
          <w:tcPr>
            <w:tcW w:w="2160" w:type="dxa"/>
            <w:tcBorders>
              <w:top w:val="nil"/>
              <w:left w:val="nil"/>
              <w:bottom w:val="single" w:sz="4" w:space="0" w:color="auto"/>
              <w:right w:val="single" w:sz="4" w:space="0" w:color="auto"/>
            </w:tcBorders>
            <w:shd w:val="clear" w:color="000000" w:fill="F2F7FC"/>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Frontlist </w:t>
            </w:r>
          </w:p>
        </w:tc>
        <w:tc>
          <w:tcPr>
            <w:tcW w:w="810" w:type="dxa"/>
            <w:tcBorders>
              <w:top w:val="single" w:sz="4" w:space="0" w:color="auto"/>
              <w:left w:val="nil"/>
              <w:bottom w:val="single" w:sz="4" w:space="0" w:color="auto"/>
              <w:right w:val="single" w:sz="4" w:space="0" w:color="auto"/>
            </w:tcBorders>
            <w:shd w:val="clear" w:color="000000" w:fill="F2F7FC"/>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206</w:t>
            </w:r>
          </w:p>
        </w:tc>
        <w:tc>
          <w:tcPr>
            <w:tcW w:w="1260" w:type="dxa"/>
            <w:tcBorders>
              <w:top w:val="nil"/>
              <w:left w:val="single" w:sz="4" w:space="0" w:color="auto"/>
              <w:bottom w:val="single" w:sz="4" w:space="0" w:color="auto"/>
              <w:right w:val="single" w:sz="4" w:space="0" w:color="auto"/>
            </w:tcBorders>
            <w:shd w:val="clear" w:color="000000" w:fill="F2F7FC"/>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2014-2015</w:t>
            </w:r>
          </w:p>
        </w:tc>
        <w:tc>
          <w:tcPr>
            <w:tcW w:w="2070" w:type="dxa"/>
            <w:tcBorders>
              <w:top w:val="nil"/>
              <w:left w:val="nil"/>
              <w:bottom w:val="single" w:sz="4" w:space="0" w:color="auto"/>
              <w:right w:val="single" w:sz="4" w:space="0" w:color="auto"/>
            </w:tcBorders>
            <w:shd w:val="clear" w:color="000000" w:fill="F2F7FC"/>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c>
          <w:tcPr>
            <w:tcW w:w="2160" w:type="dxa"/>
            <w:tcBorders>
              <w:top w:val="nil"/>
              <w:left w:val="nil"/>
              <w:bottom w:val="single" w:sz="4" w:space="0" w:color="auto"/>
              <w:right w:val="single" w:sz="8" w:space="0" w:color="auto"/>
            </w:tcBorders>
            <w:shd w:val="clear" w:color="000000" w:fill="F2F7FC"/>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expected by April 1</w:t>
            </w:r>
          </w:p>
        </w:tc>
      </w:tr>
      <w:tr w:rsidR="009F7271" w:rsidRPr="0047713F" w:rsidTr="009F7271">
        <w:trPr>
          <w:trHeight w:val="300"/>
        </w:trPr>
        <w:tc>
          <w:tcPr>
            <w:tcW w:w="1430" w:type="dxa"/>
            <w:vMerge/>
            <w:tcBorders>
              <w:top w:val="nil"/>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4" w:space="0" w:color="auto"/>
              <w:right w:val="single" w:sz="4" w:space="0" w:color="auto"/>
            </w:tcBorders>
            <w:shd w:val="clear" w:color="000000" w:fill="F2F7FC"/>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Backlist </w:t>
            </w:r>
          </w:p>
        </w:tc>
        <w:tc>
          <w:tcPr>
            <w:tcW w:w="810" w:type="dxa"/>
            <w:tcBorders>
              <w:top w:val="single" w:sz="4" w:space="0" w:color="auto"/>
              <w:left w:val="nil"/>
              <w:bottom w:val="single" w:sz="4" w:space="0" w:color="auto"/>
              <w:right w:val="single" w:sz="4" w:space="0" w:color="auto"/>
            </w:tcBorders>
            <w:shd w:val="clear" w:color="000000" w:fill="F2F7FC"/>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845</w:t>
            </w:r>
          </w:p>
        </w:tc>
        <w:tc>
          <w:tcPr>
            <w:tcW w:w="1260" w:type="dxa"/>
            <w:tcBorders>
              <w:top w:val="nil"/>
              <w:left w:val="single" w:sz="4" w:space="0" w:color="auto"/>
              <w:bottom w:val="single" w:sz="4" w:space="0" w:color="auto"/>
              <w:right w:val="single" w:sz="4" w:space="0" w:color="auto"/>
            </w:tcBorders>
            <w:shd w:val="clear" w:color="000000" w:fill="F2F7FC"/>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2000-2013</w:t>
            </w:r>
          </w:p>
        </w:tc>
        <w:tc>
          <w:tcPr>
            <w:tcW w:w="2070" w:type="dxa"/>
            <w:tcBorders>
              <w:top w:val="nil"/>
              <w:left w:val="nil"/>
              <w:bottom w:val="single" w:sz="4" w:space="0" w:color="auto"/>
              <w:right w:val="single" w:sz="4" w:space="0" w:color="auto"/>
            </w:tcBorders>
            <w:shd w:val="clear" w:color="000000" w:fill="F2F7FC"/>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Yes</w:t>
            </w:r>
          </w:p>
        </w:tc>
        <w:tc>
          <w:tcPr>
            <w:tcW w:w="2160" w:type="dxa"/>
            <w:tcBorders>
              <w:top w:val="nil"/>
              <w:left w:val="nil"/>
              <w:bottom w:val="single" w:sz="4" w:space="0" w:color="auto"/>
              <w:right w:val="single" w:sz="8" w:space="0" w:color="auto"/>
            </w:tcBorders>
            <w:shd w:val="clear" w:color="000000" w:fill="F2F7FC"/>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expected by April 1</w:t>
            </w:r>
          </w:p>
        </w:tc>
      </w:tr>
      <w:tr w:rsidR="009F7271" w:rsidRPr="0047713F" w:rsidTr="009F7271">
        <w:trPr>
          <w:trHeight w:val="915"/>
        </w:trPr>
        <w:tc>
          <w:tcPr>
            <w:tcW w:w="1430" w:type="dxa"/>
            <w:vMerge/>
            <w:tcBorders>
              <w:top w:val="nil"/>
              <w:left w:val="single" w:sz="8" w:space="0" w:color="auto"/>
              <w:bottom w:val="single" w:sz="8" w:space="0" w:color="000000"/>
              <w:right w:val="single" w:sz="4" w:space="0" w:color="auto"/>
            </w:tcBorders>
            <w:vAlign w:val="center"/>
            <w:hideMark/>
          </w:tcPr>
          <w:p w:rsidR="009F7271" w:rsidRPr="0047713F" w:rsidRDefault="009F7271" w:rsidP="0047713F">
            <w:pPr>
              <w:rPr>
                <w:rFonts w:ascii="Calibri" w:hAnsi="Calibri"/>
                <w:b/>
                <w:bCs/>
                <w:color w:val="000000"/>
                <w:sz w:val="22"/>
                <w:szCs w:val="22"/>
              </w:rPr>
            </w:pPr>
          </w:p>
        </w:tc>
        <w:tc>
          <w:tcPr>
            <w:tcW w:w="2160" w:type="dxa"/>
            <w:tcBorders>
              <w:top w:val="nil"/>
              <w:left w:val="nil"/>
              <w:bottom w:val="single" w:sz="8" w:space="0" w:color="auto"/>
              <w:right w:val="single" w:sz="4" w:space="0" w:color="auto"/>
            </w:tcBorders>
            <w:shd w:val="clear" w:color="000000" w:fill="F2F7FC"/>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 xml:space="preserve">Archive </w:t>
            </w:r>
          </w:p>
        </w:tc>
        <w:tc>
          <w:tcPr>
            <w:tcW w:w="810" w:type="dxa"/>
            <w:tcBorders>
              <w:top w:val="single" w:sz="4" w:space="0" w:color="auto"/>
              <w:left w:val="nil"/>
              <w:bottom w:val="single" w:sz="4" w:space="0" w:color="auto"/>
              <w:right w:val="single" w:sz="4" w:space="0" w:color="auto"/>
            </w:tcBorders>
            <w:shd w:val="clear" w:color="000000" w:fill="F2F7FC"/>
            <w:vAlign w:val="center"/>
          </w:tcPr>
          <w:p w:rsidR="009F7271" w:rsidRPr="0047713F" w:rsidRDefault="009F7271" w:rsidP="009F7271">
            <w:pPr>
              <w:jc w:val="center"/>
              <w:rPr>
                <w:rFonts w:ascii="Calibri" w:hAnsi="Calibri"/>
                <w:color w:val="000000"/>
                <w:sz w:val="22"/>
                <w:szCs w:val="22"/>
              </w:rPr>
            </w:pPr>
            <w:r>
              <w:rPr>
                <w:rFonts w:ascii="Calibri" w:hAnsi="Calibri"/>
                <w:color w:val="000000"/>
                <w:sz w:val="22"/>
                <w:szCs w:val="22"/>
              </w:rPr>
              <w:t>1716</w:t>
            </w:r>
          </w:p>
        </w:tc>
        <w:tc>
          <w:tcPr>
            <w:tcW w:w="1260" w:type="dxa"/>
            <w:tcBorders>
              <w:top w:val="nil"/>
              <w:left w:val="single" w:sz="4" w:space="0" w:color="auto"/>
              <w:bottom w:val="single" w:sz="8" w:space="0" w:color="auto"/>
              <w:right w:val="single" w:sz="4" w:space="0" w:color="auto"/>
            </w:tcBorders>
            <w:shd w:val="clear" w:color="000000" w:fill="F2F7FC"/>
            <w:noWrap/>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1940-1999</w:t>
            </w:r>
          </w:p>
        </w:tc>
        <w:tc>
          <w:tcPr>
            <w:tcW w:w="2070" w:type="dxa"/>
            <w:tcBorders>
              <w:top w:val="nil"/>
              <w:left w:val="nil"/>
              <w:bottom w:val="single" w:sz="8" w:space="0" w:color="auto"/>
              <w:right w:val="single" w:sz="4" w:space="0" w:color="auto"/>
            </w:tcBorders>
            <w:shd w:val="clear" w:color="000000" w:fill="F2F7FC"/>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10% available now, remaining 90% over next 18 months</w:t>
            </w:r>
          </w:p>
        </w:tc>
        <w:tc>
          <w:tcPr>
            <w:tcW w:w="2160" w:type="dxa"/>
            <w:tcBorders>
              <w:top w:val="nil"/>
              <w:left w:val="nil"/>
              <w:bottom w:val="single" w:sz="8" w:space="0" w:color="auto"/>
              <w:right w:val="single" w:sz="8" w:space="0" w:color="auto"/>
            </w:tcBorders>
            <w:shd w:val="clear" w:color="000000" w:fill="F2F7FC"/>
            <w:vAlign w:val="center"/>
            <w:hideMark/>
          </w:tcPr>
          <w:p w:rsidR="009F7271" w:rsidRPr="0047713F" w:rsidRDefault="009F7271" w:rsidP="0047713F">
            <w:pPr>
              <w:jc w:val="center"/>
              <w:rPr>
                <w:rFonts w:ascii="Calibri" w:hAnsi="Calibri"/>
                <w:color w:val="000000"/>
                <w:sz w:val="22"/>
                <w:szCs w:val="22"/>
              </w:rPr>
            </w:pPr>
            <w:r w:rsidRPr="0047713F">
              <w:rPr>
                <w:rFonts w:ascii="Calibri" w:hAnsi="Calibri"/>
                <w:color w:val="000000"/>
                <w:sz w:val="22"/>
                <w:szCs w:val="22"/>
              </w:rPr>
              <w:t>No, records for the titles available now (10% of whole collection) expected by April 1</w:t>
            </w:r>
          </w:p>
        </w:tc>
      </w:tr>
    </w:tbl>
    <w:p w:rsidR="00466DC9" w:rsidRDefault="00466DC9" w:rsidP="00466DC9">
      <w:pPr>
        <w:rPr>
          <w:rFonts w:asciiTheme="minorHAnsi" w:hAnsiTheme="minorHAnsi" w:cstheme="minorHAnsi"/>
          <w:sz w:val="22"/>
          <w:szCs w:val="22"/>
        </w:rPr>
      </w:pPr>
      <w:r w:rsidRPr="00466DC9">
        <w:rPr>
          <w:rFonts w:asciiTheme="minorHAnsi" w:hAnsiTheme="minorHAnsi" w:cstheme="minorHAnsi"/>
          <w:b/>
          <w:sz w:val="22"/>
          <w:szCs w:val="22"/>
        </w:rPr>
        <w:lastRenderedPageBreak/>
        <w:t>Note:</w:t>
      </w:r>
      <w:r>
        <w:rPr>
          <w:rFonts w:asciiTheme="minorHAnsi" w:hAnsiTheme="minorHAnsi" w:cstheme="minorHAnsi"/>
          <w:sz w:val="22"/>
          <w:szCs w:val="22"/>
        </w:rPr>
        <w:t xml:space="preserve"> Harvard University Press has re-configured the year bundles in their offer for 2015. Some of you may want to purchase older years to fill in gaps in your collections that are not aligned with the year bundles in this offer. LYRASIS will work with De Gruyter to provide a custom quote in these cases that is in alignment with this general offer. </w:t>
      </w:r>
    </w:p>
    <w:p w:rsidR="0047713F" w:rsidRDefault="0047713F" w:rsidP="00DD21D7">
      <w:pPr>
        <w:rPr>
          <w:rFonts w:asciiTheme="minorHAnsi" w:hAnsiTheme="minorHAnsi" w:cstheme="minorHAnsi"/>
          <w:sz w:val="22"/>
          <w:szCs w:val="22"/>
        </w:rPr>
      </w:pPr>
    </w:p>
    <w:p w:rsidR="00660ED3" w:rsidRDefault="00660ED3" w:rsidP="00DD21D7">
      <w:pPr>
        <w:rPr>
          <w:rFonts w:asciiTheme="minorHAnsi" w:hAnsiTheme="minorHAnsi" w:cstheme="minorHAnsi"/>
          <w:sz w:val="22"/>
          <w:szCs w:val="22"/>
        </w:rPr>
      </w:pPr>
      <w:r w:rsidRPr="00660ED3">
        <w:rPr>
          <w:rFonts w:asciiTheme="minorHAnsi" w:hAnsiTheme="minorHAnsi" w:cstheme="minorHAnsi"/>
          <w:sz w:val="22"/>
          <w:szCs w:val="22"/>
        </w:rPr>
        <w:t xml:space="preserve">The offers for these collections provide discounts based on the number of participating libraries. Orders for all publisher </w:t>
      </w:r>
      <w:r w:rsidRPr="00660ED3">
        <w:rPr>
          <w:rFonts w:asciiTheme="minorHAnsi" w:hAnsiTheme="minorHAnsi" w:cstheme="minorHAnsi"/>
          <w:b/>
          <w:sz w:val="22"/>
          <w:szCs w:val="22"/>
        </w:rPr>
        <w:t>Frontlist</w:t>
      </w:r>
      <w:r w:rsidR="00295CFF">
        <w:rPr>
          <w:rFonts w:asciiTheme="minorHAnsi" w:hAnsiTheme="minorHAnsi" w:cstheme="minorHAnsi"/>
          <w:b/>
          <w:sz w:val="22"/>
          <w:szCs w:val="22"/>
        </w:rPr>
        <w:t xml:space="preserve"> and Backlist</w:t>
      </w:r>
      <w:r w:rsidRPr="00660ED3">
        <w:rPr>
          <w:rFonts w:asciiTheme="minorHAnsi" w:hAnsiTheme="minorHAnsi" w:cstheme="minorHAnsi"/>
          <w:b/>
          <w:sz w:val="22"/>
          <w:szCs w:val="22"/>
        </w:rPr>
        <w:t xml:space="preserve"> collections</w:t>
      </w:r>
      <w:r w:rsidRPr="00660ED3">
        <w:rPr>
          <w:rFonts w:asciiTheme="minorHAnsi" w:hAnsiTheme="minorHAnsi" w:cstheme="minorHAnsi"/>
          <w:sz w:val="22"/>
          <w:szCs w:val="22"/>
        </w:rPr>
        <w:t xml:space="preserve"> will be gathered through</w:t>
      </w:r>
      <w:r>
        <w:rPr>
          <w:rFonts w:asciiTheme="minorHAnsi" w:hAnsiTheme="minorHAnsi" w:cstheme="minorHAnsi"/>
          <w:b/>
          <w:sz w:val="22"/>
          <w:szCs w:val="22"/>
        </w:rPr>
        <w:t xml:space="preserve"> May 29, 2015, </w:t>
      </w:r>
      <w:r w:rsidRPr="00660ED3">
        <w:rPr>
          <w:rFonts w:asciiTheme="minorHAnsi" w:hAnsiTheme="minorHAnsi" w:cstheme="minorHAnsi"/>
          <w:sz w:val="22"/>
          <w:szCs w:val="22"/>
        </w:rPr>
        <w:t>and the final discount will be determined on that date.</w:t>
      </w:r>
      <w:r w:rsidR="00295CFF">
        <w:rPr>
          <w:rFonts w:asciiTheme="minorHAnsi" w:hAnsiTheme="minorHAnsi" w:cstheme="minorHAnsi"/>
          <w:sz w:val="22"/>
          <w:szCs w:val="22"/>
        </w:rPr>
        <w:t xml:space="preserve"> Last year over 50 libraries in the US and Canada participated in the offer for Harvard University Press Frontlist ebooks alone at De Gruyter Online. This year, De Gruyter is providing the deepest level of discount for 55+ participants. All libraries that purchase any Frontlist or Backlist collections from any of the presses are counted towards the goal of 55 participants.</w:t>
      </w:r>
    </w:p>
    <w:p w:rsidR="00660ED3" w:rsidRDefault="00660ED3" w:rsidP="00DD21D7">
      <w:pPr>
        <w:rPr>
          <w:rFonts w:asciiTheme="minorHAnsi" w:hAnsiTheme="minorHAnsi" w:cstheme="minorHAnsi"/>
          <w:sz w:val="22"/>
          <w:szCs w:val="22"/>
        </w:rPr>
      </w:pPr>
    </w:p>
    <w:p w:rsidR="00660ED3" w:rsidRPr="00660ED3" w:rsidRDefault="00660ED3" w:rsidP="00DD21D7">
      <w:pPr>
        <w:rPr>
          <w:rFonts w:asciiTheme="minorHAnsi" w:hAnsiTheme="minorHAnsi" w:cstheme="minorHAnsi"/>
          <w:sz w:val="22"/>
          <w:szCs w:val="22"/>
        </w:rPr>
      </w:pPr>
      <w:r>
        <w:rPr>
          <w:rFonts w:asciiTheme="minorHAnsi" w:hAnsiTheme="minorHAnsi" w:cstheme="minorHAnsi"/>
          <w:sz w:val="22"/>
          <w:szCs w:val="22"/>
        </w:rPr>
        <w:t xml:space="preserve">Orders for all publisher Archive collections will be gathered through </w:t>
      </w:r>
      <w:r w:rsidRPr="00660ED3">
        <w:rPr>
          <w:rFonts w:asciiTheme="minorHAnsi" w:hAnsiTheme="minorHAnsi" w:cstheme="minorHAnsi"/>
          <w:b/>
          <w:sz w:val="22"/>
          <w:szCs w:val="22"/>
        </w:rPr>
        <w:t>July 31, 2015</w:t>
      </w:r>
      <w:r>
        <w:rPr>
          <w:rFonts w:asciiTheme="minorHAnsi" w:hAnsiTheme="minorHAnsi" w:cstheme="minorHAnsi"/>
          <w:sz w:val="22"/>
          <w:szCs w:val="22"/>
        </w:rPr>
        <w:t xml:space="preserve">, and the final discount for these older collections will be established </w:t>
      </w:r>
      <w:r w:rsidR="00295CFF">
        <w:rPr>
          <w:rFonts w:asciiTheme="minorHAnsi" w:hAnsiTheme="minorHAnsi" w:cstheme="minorHAnsi"/>
          <w:sz w:val="22"/>
          <w:szCs w:val="22"/>
        </w:rPr>
        <w:t xml:space="preserve">based on the total dollar amount of orders </w:t>
      </w:r>
      <w:r>
        <w:rPr>
          <w:rFonts w:asciiTheme="minorHAnsi" w:hAnsiTheme="minorHAnsi" w:cstheme="minorHAnsi"/>
          <w:sz w:val="22"/>
          <w:szCs w:val="22"/>
        </w:rPr>
        <w:t>at that time.</w:t>
      </w:r>
    </w:p>
    <w:p w:rsidR="00703399" w:rsidRDefault="00703399" w:rsidP="00DD21D7">
      <w:pPr>
        <w:rPr>
          <w:rFonts w:asciiTheme="minorHAnsi" w:hAnsiTheme="minorHAnsi" w:cstheme="minorHAnsi"/>
          <w:sz w:val="22"/>
          <w:szCs w:val="22"/>
        </w:rPr>
      </w:pPr>
    </w:p>
    <w:p w:rsidR="00466DC9" w:rsidRDefault="00466DC9" w:rsidP="00DD21D7">
      <w:pPr>
        <w:rPr>
          <w:rFonts w:asciiTheme="minorHAnsi" w:hAnsiTheme="minorHAnsi" w:cstheme="minorHAnsi"/>
          <w:sz w:val="22"/>
          <w:szCs w:val="22"/>
        </w:rPr>
      </w:pPr>
    </w:p>
    <w:p w:rsidR="00642C33" w:rsidRPr="00D458EC" w:rsidRDefault="00642C33" w:rsidP="00642C33">
      <w:pPr>
        <w:rPr>
          <w:rFonts w:asciiTheme="minorHAnsi" w:hAnsiTheme="minorHAnsi" w:cstheme="minorHAnsi"/>
          <w:b/>
          <w:sz w:val="22"/>
          <w:szCs w:val="22"/>
          <w:u w:val="single"/>
        </w:rPr>
      </w:pPr>
      <w:r w:rsidRPr="00D458EC">
        <w:rPr>
          <w:rFonts w:asciiTheme="minorHAnsi" w:hAnsiTheme="minorHAnsi" w:cstheme="minorHAnsi"/>
          <w:b/>
          <w:sz w:val="22"/>
          <w:szCs w:val="22"/>
          <w:u w:val="single"/>
        </w:rPr>
        <w:t xml:space="preserve">Offer #1: </w:t>
      </w:r>
      <w:r w:rsidR="00466F16">
        <w:rPr>
          <w:rFonts w:asciiTheme="minorHAnsi" w:hAnsiTheme="minorHAnsi" w:cstheme="minorHAnsi"/>
          <w:b/>
          <w:sz w:val="22"/>
          <w:szCs w:val="22"/>
          <w:u w:val="single"/>
        </w:rPr>
        <w:t>All Frontlist</w:t>
      </w:r>
      <w:r w:rsidRPr="00D458EC">
        <w:rPr>
          <w:rFonts w:asciiTheme="minorHAnsi" w:hAnsiTheme="minorHAnsi" w:cstheme="minorHAnsi"/>
          <w:b/>
          <w:sz w:val="22"/>
          <w:szCs w:val="22"/>
          <w:u w:val="single"/>
        </w:rPr>
        <w:t xml:space="preserve"> </w:t>
      </w:r>
      <w:r w:rsidR="00E30D1F">
        <w:rPr>
          <w:rFonts w:asciiTheme="minorHAnsi" w:hAnsiTheme="minorHAnsi" w:cstheme="minorHAnsi"/>
          <w:b/>
          <w:sz w:val="22"/>
          <w:szCs w:val="22"/>
          <w:u w:val="single"/>
        </w:rPr>
        <w:t xml:space="preserve">and Backlist </w:t>
      </w:r>
      <w:r w:rsidRPr="00D458EC">
        <w:rPr>
          <w:rFonts w:asciiTheme="minorHAnsi" w:hAnsiTheme="minorHAnsi" w:cstheme="minorHAnsi"/>
          <w:b/>
          <w:sz w:val="22"/>
          <w:szCs w:val="22"/>
          <w:u w:val="single"/>
        </w:rPr>
        <w:t>Collections</w:t>
      </w:r>
    </w:p>
    <w:p w:rsidR="00642C33" w:rsidRDefault="00642C33" w:rsidP="00642C33">
      <w:pPr>
        <w:rPr>
          <w:rFonts w:asciiTheme="minorHAnsi" w:hAnsiTheme="minorHAnsi" w:cstheme="minorHAnsi"/>
          <w:sz w:val="22"/>
          <w:szCs w:val="22"/>
        </w:rPr>
      </w:pPr>
    </w:p>
    <w:p w:rsidR="00395488" w:rsidRDefault="00395488" w:rsidP="0039548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Final pricing for the </w:t>
      </w:r>
      <w:r w:rsidR="00466F16">
        <w:rPr>
          <w:rFonts w:asciiTheme="minorHAnsi" w:hAnsiTheme="minorHAnsi" w:cstheme="minorHAnsi"/>
          <w:sz w:val="22"/>
          <w:szCs w:val="22"/>
        </w:rPr>
        <w:t>Frontlist</w:t>
      </w:r>
      <w:r>
        <w:rPr>
          <w:rFonts w:asciiTheme="minorHAnsi" w:hAnsiTheme="minorHAnsi" w:cstheme="minorHAnsi"/>
          <w:sz w:val="22"/>
          <w:szCs w:val="22"/>
        </w:rPr>
        <w:t xml:space="preserve"> collections is based on the total </w:t>
      </w:r>
      <w:r w:rsidR="00466F16">
        <w:rPr>
          <w:rFonts w:asciiTheme="minorHAnsi" w:hAnsiTheme="minorHAnsi" w:cstheme="minorHAnsi"/>
          <w:sz w:val="22"/>
          <w:szCs w:val="22"/>
        </w:rPr>
        <w:t>number of libraries placing orders</w:t>
      </w:r>
      <w:r>
        <w:rPr>
          <w:rFonts w:asciiTheme="minorHAnsi" w:hAnsiTheme="minorHAnsi" w:cstheme="minorHAnsi"/>
          <w:sz w:val="22"/>
          <w:szCs w:val="22"/>
        </w:rPr>
        <w:t xml:space="preserve"> by </w:t>
      </w:r>
      <w:r>
        <w:rPr>
          <w:rFonts w:asciiTheme="minorHAnsi" w:hAnsiTheme="minorHAnsi" w:cstheme="minorHAnsi"/>
          <w:b/>
          <w:sz w:val="22"/>
          <w:szCs w:val="22"/>
        </w:rPr>
        <w:t xml:space="preserve">May </w:t>
      </w:r>
      <w:r w:rsidR="00466F16">
        <w:rPr>
          <w:rFonts w:asciiTheme="minorHAnsi" w:hAnsiTheme="minorHAnsi" w:cstheme="minorHAnsi"/>
          <w:b/>
          <w:sz w:val="22"/>
          <w:szCs w:val="22"/>
        </w:rPr>
        <w:t>29</w:t>
      </w:r>
      <w:r w:rsidRPr="00C37D67">
        <w:rPr>
          <w:rFonts w:asciiTheme="minorHAnsi" w:hAnsiTheme="minorHAnsi" w:cstheme="minorHAnsi"/>
          <w:b/>
          <w:sz w:val="22"/>
          <w:szCs w:val="22"/>
        </w:rPr>
        <w:t>, 201</w:t>
      </w:r>
      <w:r w:rsidR="00466F16">
        <w:rPr>
          <w:rFonts w:asciiTheme="minorHAnsi" w:hAnsiTheme="minorHAnsi" w:cstheme="minorHAnsi"/>
          <w:b/>
          <w:sz w:val="22"/>
          <w:szCs w:val="22"/>
        </w:rPr>
        <w:t>5</w:t>
      </w:r>
      <w:r w:rsidRPr="00C37D67">
        <w:rPr>
          <w:rFonts w:asciiTheme="minorHAnsi" w:hAnsiTheme="minorHAnsi" w:cstheme="minorHAnsi"/>
          <w:b/>
          <w:sz w:val="22"/>
          <w:szCs w:val="22"/>
        </w:rPr>
        <w:t>.</w:t>
      </w:r>
      <w:r>
        <w:rPr>
          <w:rFonts w:asciiTheme="minorHAnsi" w:hAnsiTheme="minorHAnsi" w:cstheme="minorHAnsi"/>
          <w:sz w:val="22"/>
          <w:szCs w:val="22"/>
        </w:rPr>
        <w:t xml:space="preserve"> We will </w:t>
      </w:r>
      <w:r w:rsidRPr="005B007B">
        <w:rPr>
          <w:rFonts w:asciiTheme="minorHAnsi" w:hAnsiTheme="minorHAnsi" w:cstheme="minorHAnsi"/>
          <w:sz w:val="22"/>
          <w:szCs w:val="22"/>
        </w:rPr>
        <w:t xml:space="preserve">be gathering intentions to purchase at your indicated discount level through the survey instrument at </w:t>
      </w:r>
      <w:hyperlink r:id="rId9" w:history="1">
        <w:r w:rsidR="005B007B" w:rsidRPr="005B007B">
          <w:rPr>
            <w:rStyle w:val="Hyperlink"/>
            <w:rFonts w:asciiTheme="minorHAnsi" w:hAnsiTheme="minorHAnsi" w:cstheme="minorHAnsi"/>
            <w:sz w:val="22"/>
            <w:szCs w:val="22"/>
          </w:rPr>
          <w:t>https://www.surveymonkey.com/s/2015DeGFrontBacklist</w:t>
        </w:r>
      </w:hyperlink>
      <w:r w:rsidRPr="005B007B">
        <w:rPr>
          <w:rFonts w:asciiTheme="minorHAnsi" w:hAnsiTheme="minorHAnsi" w:cstheme="minorHAnsi"/>
          <w:sz w:val="22"/>
          <w:szCs w:val="22"/>
        </w:rPr>
        <w:t>.</w:t>
      </w:r>
      <w:r w:rsidR="00117E85" w:rsidRPr="005B007B">
        <w:rPr>
          <w:rFonts w:asciiTheme="minorHAnsi" w:hAnsiTheme="minorHAnsi" w:cstheme="minorHAnsi"/>
          <w:sz w:val="22"/>
          <w:szCs w:val="22"/>
        </w:rPr>
        <w:t xml:space="preserve"> </w:t>
      </w:r>
      <w:r w:rsidRPr="005B007B">
        <w:rPr>
          <w:rFonts w:asciiTheme="minorHAnsi" w:hAnsiTheme="minorHAnsi" w:cstheme="minorHAnsi"/>
          <w:sz w:val="22"/>
          <w:szCs w:val="22"/>
        </w:rPr>
        <w:t>Please</w:t>
      </w:r>
      <w:r>
        <w:rPr>
          <w:rFonts w:asciiTheme="minorHAnsi" w:hAnsiTheme="minorHAnsi" w:cstheme="minorHAnsi"/>
          <w:sz w:val="22"/>
          <w:szCs w:val="22"/>
        </w:rPr>
        <w:t xml:space="preserve"> complete the survey, indicating </w:t>
      </w:r>
      <w:r w:rsidRPr="00C37D67">
        <w:rPr>
          <w:rFonts w:asciiTheme="minorHAnsi" w:hAnsiTheme="minorHAnsi" w:cstheme="minorHAnsi"/>
          <w:b/>
          <w:sz w:val="22"/>
          <w:szCs w:val="22"/>
        </w:rPr>
        <w:t xml:space="preserve">the price point for the desired collection that would enable you to commit to a purchase. </w:t>
      </w:r>
      <w:r>
        <w:rPr>
          <w:rFonts w:asciiTheme="minorHAnsi" w:hAnsiTheme="minorHAnsi" w:cstheme="minorHAnsi"/>
          <w:sz w:val="22"/>
          <w:szCs w:val="22"/>
        </w:rPr>
        <w:t>I will keep you informed as we gather enough commitments to move into a deeper discount level.</w:t>
      </w:r>
    </w:p>
    <w:p w:rsidR="00395488" w:rsidRDefault="00395488" w:rsidP="00642C33">
      <w:pPr>
        <w:rPr>
          <w:rFonts w:asciiTheme="minorHAnsi" w:hAnsiTheme="minorHAnsi" w:cstheme="minorHAnsi"/>
          <w:sz w:val="22"/>
          <w:szCs w:val="22"/>
        </w:rPr>
      </w:pPr>
    </w:p>
    <w:p w:rsidR="00C37D67" w:rsidRDefault="00C37D67" w:rsidP="00C37D67">
      <w:pPr>
        <w:rPr>
          <w:rFonts w:asciiTheme="minorHAnsi" w:hAnsiTheme="minorHAnsi" w:cstheme="minorHAnsi"/>
          <w:sz w:val="22"/>
          <w:szCs w:val="22"/>
        </w:rPr>
      </w:pPr>
      <w:r>
        <w:rPr>
          <w:rFonts w:asciiTheme="minorHAnsi" w:hAnsiTheme="minorHAnsi" w:cstheme="minorHAnsi"/>
          <w:sz w:val="22"/>
          <w:szCs w:val="22"/>
        </w:rPr>
        <w:t>If a library wants immediate access</w:t>
      </w:r>
      <w:r w:rsidR="00466F16">
        <w:rPr>
          <w:rFonts w:asciiTheme="minorHAnsi" w:hAnsiTheme="minorHAnsi" w:cstheme="minorHAnsi"/>
          <w:sz w:val="22"/>
          <w:szCs w:val="22"/>
        </w:rPr>
        <w:t xml:space="preserve"> or needs an invoice before June 1, 2015</w:t>
      </w:r>
      <w:r>
        <w:rPr>
          <w:rFonts w:asciiTheme="minorHAnsi" w:hAnsiTheme="minorHAnsi" w:cstheme="minorHAnsi"/>
          <w:sz w:val="22"/>
          <w:szCs w:val="22"/>
        </w:rPr>
        <w:t>, we will process an order at the price we can guarantee at that time based on the number of committed participants</w:t>
      </w:r>
      <w:r w:rsidR="00D458EC">
        <w:rPr>
          <w:rFonts w:asciiTheme="minorHAnsi" w:hAnsiTheme="minorHAnsi" w:cstheme="minorHAnsi"/>
          <w:sz w:val="22"/>
          <w:szCs w:val="22"/>
        </w:rPr>
        <w:t>. If a credit is due later</w:t>
      </w:r>
      <w:r>
        <w:rPr>
          <w:rFonts w:asciiTheme="minorHAnsi" w:hAnsiTheme="minorHAnsi" w:cstheme="minorHAnsi"/>
          <w:sz w:val="22"/>
          <w:szCs w:val="22"/>
        </w:rPr>
        <w:t xml:space="preserve">, we will work </w:t>
      </w:r>
      <w:r w:rsidR="00D458EC">
        <w:rPr>
          <w:rFonts w:asciiTheme="minorHAnsi" w:hAnsiTheme="minorHAnsi" w:cstheme="minorHAnsi"/>
          <w:sz w:val="22"/>
          <w:szCs w:val="22"/>
        </w:rPr>
        <w:t>through that process with the library when the final price is known</w:t>
      </w:r>
      <w:r w:rsidR="00466F16">
        <w:rPr>
          <w:rFonts w:asciiTheme="minorHAnsi" w:hAnsiTheme="minorHAnsi" w:cstheme="minorHAnsi"/>
          <w:sz w:val="22"/>
          <w:szCs w:val="22"/>
        </w:rPr>
        <w:t>.</w:t>
      </w:r>
      <w:r w:rsidR="00D458EC">
        <w:rPr>
          <w:rFonts w:asciiTheme="minorHAnsi" w:hAnsiTheme="minorHAnsi" w:cstheme="minorHAnsi"/>
          <w:sz w:val="22"/>
          <w:szCs w:val="22"/>
        </w:rPr>
        <w:t xml:space="preserve"> </w:t>
      </w:r>
    </w:p>
    <w:p w:rsidR="00D458EC" w:rsidRDefault="00D458EC" w:rsidP="00C37D67">
      <w:pPr>
        <w:rPr>
          <w:rFonts w:asciiTheme="minorHAnsi" w:hAnsiTheme="minorHAnsi" w:cstheme="minorHAnsi"/>
          <w:sz w:val="22"/>
          <w:szCs w:val="22"/>
        </w:rPr>
      </w:pPr>
    </w:p>
    <w:p w:rsidR="00A60070" w:rsidRDefault="00A60070" w:rsidP="00A60070">
      <w:pPr>
        <w:rPr>
          <w:rFonts w:asciiTheme="minorHAnsi" w:hAnsiTheme="minorHAnsi" w:cstheme="minorHAnsi"/>
          <w:sz w:val="22"/>
          <w:szCs w:val="22"/>
        </w:rPr>
      </w:pPr>
      <w:r>
        <w:rPr>
          <w:rFonts w:asciiTheme="minorHAnsi" w:hAnsiTheme="minorHAnsi" w:cstheme="minorHAnsi"/>
          <w:sz w:val="22"/>
          <w:szCs w:val="22"/>
        </w:rPr>
        <w:t xml:space="preserve">LYRASIS will apply an administrative fee of 4% for each order for libraries that are returning participants in the ARL/LYRASIS group license. New participants in the license will receive a 5% administrative fee. If the total dollar amount of orders exceeds $2 million, the administrative fees will be scaled back in accordance with the agreement between ARL and LYRASIS. </w:t>
      </w:r>
    </w:p>
    <w:p w:rsidR="00A62C43" w:rsidRDefault="00A62C43" w:rsidP="00D458EC">
      <w:pPr>
        <w:rPr>
          <w:rFonts w:asciiTheme="minorHAnsi" w:hAnsiTheme="minorHAnsi" w:cstheme="minorHAnsi"/>
          <w:sz w:val="22"/>
          <w:szCs w:val="22"/>
        </w:rPr>
      </w:pPr>
    </w:p>
    <w:p w:rsidR="00A62C43" w:rsidRDefault="00A62C43" w:rsidP="00D458EC">
      <w:pPr>
        <w:rPr>
          <w:rFonts w:asciiTheme="minorHAnsi" w:hAnsiTheme="minorHAnsi" w:cstheme="minorHAnsi"/>
          <w:sz w:val="22"/>
          <w:szCs w:val="22"/>
        </w:rPr>
      </w:pPr>
      <w:r>
        <w:rPr>
          <w:rFonts w:asciiTheme="minorHAnsi" w:hAnsiTheme="minorHAnsi" w:cstheme="minorHAnsi"/>
          <w:sz w:val="22"/>
          <w:szCs w:val="22"/>
        </w:rPr>
        <w:t>Canadian institutions will be assessed the GST on their LYRASIS invoice due to the requirements of the De Gruyter fiscal office.</w:t>
      </w:r>
    </w:p>
    <w:p w:rsidR="00D458EC" w:rsidRDefault="00D458EC" w:rsidP="00C37D67">
      <w:pPr>
        <w:rPr>
          <w:rFonts w:asciiTheme="minorHAnsi" w:hAnsiTheme="minorHAnsi" w:cstheme="minorHAnsi"/>
          <w:sz w:val="22"/>
          <w:szCs w:val="22"/>
        </w:rPr>
      </w:pPr>
    </w:p>
    <w:p w:rsidR="00C37D67" w:rsidRDefault="00C37D67" w:rsidP="00C37D67">
      <w:pPr>
        <w:rPr>
          <w:rFonts w:asciiTheme="minorHAnsi" w:hAnsiTheme="minorHAnsi" w:cstheme="minorHAnsi"/>
          <w:sz w:val="22"/>
          <w:szCs w:val="22"/>
        </w:rPr>
      </w:pPr>
      <w:r>
        <w:rPr>
          <w:rFonts w:asciiTheme="minorHAnsi" w:hAnsiTheme="minorHAnsi" w:cstheme="minorHAnsi"/>
          <w:sz w:val="22"/>
          <w:szCs w:val="22"/>
        </w:rPr>
        <w:t>Per the terms of the ARL initiative, we will be working with multiple consortia across the US and Canada to gather as many participa</w:t>
      </w:r>
      <w:r w:rsidR="00395488">
        <w:rPr>
          <w:rFonts w:asciiTheme="minorHAnsi" w:hAnsiTheme="minorHAnsi" w:cstheme="minorHAnsi"/>
          <w:sz w:val="22"/>
          <w:szCs w:val="22"/>
        </w:rPr>
        <w:t>ting libraries</w:t>
      </w:r>
      <w:r>
        <w:rPr>
          <w:rFonts w:asciiTheme="minorHAnsi" w:hAnsiTheme="minorHAnsi" w:cstheme="minorHAnsi"/>
          <w:sz w:val="22"/>
          <w:szCs w:val="22"/>
        </w:rPr>
        <w:t xml:space="preserve"> as possible. Every participant is counted toward the same goal, and we believe that the highest discount offered for 55+ participants</w:t>
      </w:r>
      <w:r w:rsidR="00466F16">
        <w:rPr>
          <w:rFonts w:asciiTheme="minorHAnsi" w:hAnsiTheme="minorHAnsi" w:cstheme="minorHAnsi"/>
          <w:sz w:val="22"/>
          <w:szCs w:val="22"/>
        </w:rPr>
        <w:t xml:space="preserve"> is within reach</w:t>
      </w:r>
      <w:r>
        <w:rPr>
          <w:rFonts w:asciiTheme="minorHAnsi" w:hAnsiTheme="minorHAnsi" w:cstheme="minorHAnsi"/>
          <w:sz w:val="22"/>
          <w:szCs w:val="22"/>
        </w:rPr>
        <w:t xml:space="preserve">. </w:t>
      </w:r>
    </w:p>
    <w:p w:rsidR="00C37D67" w:rsidRPr="00642C33" w:rsidRDefault="00C37D67" w:rsidP="00642C33">
      <w:pPr>
        <w:rPr>
          <w:rFonts w:asciiTheme="minorHAnsi" w:hAnsiTheme="minorHAnsi" w:cstheme="minorHAnsi"/>
          <w:sz w:val="22"/>
          <w:szCs w:val="22"/>
        </w:rPr>
      </w:pPr>
    </w:p>
    <w:p w:rsidR="00D96E22" w:rsidRDefault="00D96E22" w:rsidP="00DD21D7">
      <w:pPr>
        <w:rPr>
          <w:rFonts w:asciiTheme="minorHAnsi" w:hAnsiTheme="minorHAnsi" w:cstheme="minorHAnsi"/>
          <w:sz w:val="22"/>
          <w:szCs w:val="22"/>
        </w:rPr>
      </w:pPr>
    </w:p>
    <w:p w:rsidR="00BC2635" w:rsidRPr="00D458EC" w:rsidRDefault="00BC2635" w:rsidP="00DD21D7">
      <w:pPr>
        <w:rPr>
          <w:rFonts w:asciiTheme="minorHAnsi" w:hAnsiTheme="minorHAnsi" w:cstheme="minorHAnsi"/>
          <w:b/>
          <w:sz w:val="22"/>
          <w:szCs w:val="22"/>
          <w:u w:val="single"/>
        </w:rPr>
      </w:pPr>
      <w:r w:rsidRPr="00D458EC">
        <w:rPr>
          <w:rFonts w:asciiTheme="minorHAnsi" w:hAnsiTheme="minorHAnsi" w:cstheme="minorHAnsi"/>
          <w:b/>
          <w:sz w:val="22"/>
          <w:szCs w:val="22"/>
          <w:u w:val="single"/>
        </w:rPr>
        <w:t xml:space="preserve">Offer #2:  </w:t>
      </w:r>
      <w:r w:rsidR="00466F16">
        <w:rPr>
          <w:rFonts w:asciiTheme="minorHAnsi" w:hAnsiTheme="minorHAnsi" w:cstheme="minorHAnsi"/>
          <w:b/>
          <w:sz w:val="22"/>
          <w:szCs w:val="22"/>
          <w:u w:val="single"/>
        </w:rPr>
        <w:t>All Archive Collections</w:t>
      </w:r>
    </w:p>
    <w:p w:rsidR="00BC2635" w:rsidRDefault="00BC2635" w:rsidP="00DD21D7">
      <w:pPr>
        <w:rPr>
          <w:rFonts w:asciiTheme="minorHAnsi" w:hAnsiTheme="minorHAnsi" w:cstheme="minorHAnsi"/>
          <w:sz w:val="22"/>
          <w:szCs w:val="22"/>
        </w:rPr>
      </w:pPr>
    </w:p>
    <w:p w:rsidR="00466F16" w:rsidRDefault="00466F16" w:rsidP="00466F16">
      <w:pPr>
        <w:rPr>
          <w:rFonts w:asciiTheme="minorHAnsi" w:hAnsiTheme="minorHAnsi" w:cstheme="minorHAnsi"/>
          <w:sz w:val="22"/>
          <w:szCs w:val="22"/>
        </w:rPr>
      </w:pPr>
      <w:r>
        <w:rPr>
          <w:rFonts w:asciiTheme="minorHAnsi" w:hAnsiTheme="minorHAnsi" w:cstheme="minorHAnsi"/>
          <w:sz w:val="22"/>
          <w:szCs w:val="22"/>
        </w:rPr>
        <w:t xml:space="preserve">Final pricing for the Backlist and Archives collections is based on the total </w:t>
      </w:r>
      <w:r w:rsidR="00975948">
        <w:rPr>
          <w:rFonts w:asciiTheme="minorHAnsi" w:hAnsiTheme="minorHAnsi" w:cstheme="minorHAnsi"/>
          <w:sz w:val="22"/>
          <w:szCs w:val="22"/>
        </w:rPr>
        <w:t xml:space="preserve">dollar amount of </w:t>
      </w:r>
      <w:r>
        <w:rPr>
          <w:rFonts w:asciiTheme="minorHAnsi" w:hAnsiTheme="minorHAnsi" w:cstheme="minorHAnsi"/>
          <w:sz w:val="22"/>
          <w:szCs w:val="22"/>
        </w:rPr>
        <w:t xml:space="preserve">orders </w:t>
      </w:r>
      <w:r w:rsidR="00975948">
        <w:rPr>
          <w:rFonts w:asciiTheme="minorHAnsi" w:hAnsiTheme="minorHAnsi" w:cstheme="minorHAnsi"/>
          <w:sz w:val="22"/>
          <w:szCs w:val="22"/>
        </w:rPr>
        <w:t xml:space="preserve">placed </w:t>
      </w:r>
      <w:r>
        <w:rPr>
          <w:rFonts w:asciiTheme="minorHAnsi" w:hAnsiTheme="minorHAnsi" w:cstheme="minorHAnsi"/>
          <w:sz w:val="22"/>
          <w:szCs w:val="22"/>
        </w:rPr>
        <w:t xml:space="preserve">by </w:t>
      </w:r>
      <w:r w:rsidRPr="00975948">
        <w:rPr>
          <w:rFonts w:asciiTheme="minorHAnsi" w:hAnsiTheme="minorHAnsi" w:cstheme="minorHAnsi"/>
          <w:b/>
          <w:sz w:val="22"/>
          <w:szCs w:val="22"/>
        </w:rPr>
        <w:t>July 31, 2015</w:t>
      </w:r>
      <w:r>
        <w:rPr>
          <w:rFonts w:asciiTheme="minorHAnsi" w:hAnsiTheme="minorHAnsi" w:cstheme="minorHAnsi"/>
          <w:sz w:val="22"/>
          <w:szCs w:val="22"/>
        </w:rPr>
        <w:t xml:space="preserve">. We will be gathering intentions to purchase at your indicated discount level through the survey instrument </w:t>
      </w:r>
      <w:r w:rsidRPr="00352567">
        <w:rPr>
          <w:rFonts w:asciiTheme="minorHAnsi" w:hAnsiTheme="minorHAnsi" w:cstheme="minorHAnsi"/>
          <w:sz w:val="22"/>
          <w:szCs w:val="22"/>
        </w:rPr>
        <w:t xml:space="preserve">at </w:t>
      </w:r>
      <w:hyperlink r:id="rId10" w:history="1">
        <w:r w:rsidR="00352567" w:rsidRPr="00352567">
          <w:rPr>
            <w:rStyle w:val="Hyperlink"/>
            <w:rFonts w:asciiTheme="minorHAnsi" w:hAnsiTheme="minorHAnsi" w:cstheme="minorHAnsi"/>
            <w:sz w:val="22"/>
            <w:szCs w:val="22"/>
          </w:rPr>
          <w:t>https://www.surveymonkey.com/s/DeGArchiveOrders</w:t>
        </w:r>
      </w:hyperlink>
      <w:r w:rsidRPr="00352567">
        <w:rPr>
          <w:rFonts w:asciiTheme="minorHAnsi" w:hAnsiTheme="minorHAnsi" w:cstheme="minorHAnsi"/>
          <w:sz w:val="22"/>
          <w:szCs w:val="22"/>
        </w:rPr>
        <w:t>. Please</w:t>
      </w:r>
      <w:r>
        <w:rPr>
          <w:rFonts w:asciiTheme="minorHAnsi" w:hAnsiTheme="minorHAnsi" w:cstheme="minorHAnsi"/>
          <w:sz w:val="22"/>
          <w:szCs w:val="22"/>
        </w:rPr>
        <w:t xml:space="preserve"> complete the survey, indicating </w:t>
      </w:r>
      <w:r w:rsidRPr="00C37D67">
        <w:rPr>
          <w:rFonts w:asciiTheme="minorHAnsi" w:hAnsiTheme="minorHAnsi" w:cstheme="minorHAnsi"/>
          <w:b/>
          <w:sz w:val="22"/>
          <w:szCs w:val="22"/>
        </w:rPr>
        <w:t xml:space="preserve">the price point for the desired collection that would enable you to commit to a </w:t>
      </w:r>
      <w:r w:rsidRPr="00C37D67">
        <w:rPr>
          <w:rFonts w:asciiTheme="minorHAnsi" w:hAnsiTheme="minorHAnsi" w:cstheme="minorHAnsi"/>
          <w:b/>
          <w:sz w:val="22"/>
          <w:szCs w:val="22"/>
        </w:rPr>
        <w:lastRenderedPageBreak/>
        <w:t xml:space="preserve">purchase. </w:t>
      </w:r>
      <w:r>
        <w:rPr>
          <w:rFonts w:asciiTheme="minorHAnsi" w:hAnsiTheme="minorHAnsi" w:cstheme="minorHAnsi"/>
          <w:sz w:val="22"/>
          <w:szCs w:val="22"/>
        </w:rPr>
        <w:t>I will keep you informed as we gather enough commitments to move into a deeper discount level.</w:t>
      </w:r>
    </w:p>
    <w:p w:rsidR="00466F16" w:rsidRDefault="00466F16" w:rsidP="00466F16">
      <w:pPr>
        <w:rPr>
          <w:rFonts w:asciiTheme="minorHAnsi" w:hAnsiTheme="minorHAnsi" w:cstheme="minorHAnsi"/>
          <w:sz w:val="22"/>
          <w:szCs w:val="22"/>
        </w:rPr>
      </w:pPr>
    </w:p>
    <w:p w:rsidR="00466F16" w:rsidRDefault="00466F16" w:rsidP="00466F16">
      <w:pPr>
        <w:rPr>
          <w:rFonts w:asciiTheme="minorHAnsi" w:hAnsiTheme="minorHAnsi" w:cstheme="minorHAnsi"/>
          <w:sz w:val="22"/>
          <w:szCs w:val="22"/>
        </w:rPr>
      </w:pPr>
      <w:r>
        <w:rPr>
          <w:rFonts w:asciiTheme="minorHAnsi" w:hAnsiTheme="minorHAnsi" w:cstheme="minorHAnsi"/>
          <w:sz w:val="22"/>
          <w:szCs w:val="22"/>
        </w:rPr>
        <w:t xml:space="preserve">If a library wants immediate access or needs an invoice before July 31, 2015, we will process an order at the price we can guarantee at that time based on the </w:t>
      </w:r>
      <w:r w:rsidR="00975948">
        <w:rPr>
          <w:rFonts w:asciiTheme="minorHAnsi" w:hAnsiTheme="minorHAnsi" w:cstheme="minorHAnsi"/>
          <w:sz w:val="22"/>
          <w:szCs w:val="22"/>
        </w:rPr>
        <w:t>total amount of orders placed</w:t>
      </w:r>
      <w:bookmarkStart w:id="0" w:name="_GoBack"/>
      <w:bookmarkEnd w:id="0"/>
      <w:r>
        <w:rPr>
          <w:rFonts w:asciiTheme="minorHAnsi" w:hAnsiTheme="minorHAnsi" w:cstheme="minorHAnsi"/>
          <w:sz w:val="22"/>
          <w:szCs w:val="22"/>
        </w:rPr>
        <w:t xml:space="preserve">. If a credit is due later, we will work through that process with the library when the final price is known. </w:t>
      </w:r>
    </w:p>
    <w:p w:rsidR="00466F16" w:rsidRDefault="00466F16" w:rsidP="00466F16">
      <w:pPr>
        <w:rPr>
          <w:rFonts w:asciiTheme="minorHAnsi" w:hAnsiTheme="minorHAnsi" w:cstheme="minorHAnsi"/>
          <w:sz w:val="22"/>
          <w:szCs w:val="22"/>
        </w:rPr>
      </w:pPr>
    </w:p>
    <w:p w:rsidR="00276BB1" w:rsidRDefault="00466F16" w:rsidP="00466F16">
      <w:pPr>
        <w:rPr>
          <w:rFonts w:asciiTheme="minorHAnsi" w:hAnsiTheme="minorHAnsi" w:cstheme="minorHAnsi"/>
          <w:sz w:val="22"/>
          <w:szCs w:val="22"/>
        </w:rPr>
      </w:pPr>
      <w:r>
        <w:rPr>
          <w:rFonts w:asciiTheme="minorHAnsi" w:hAnsiTheme="minorHAnsi" w:cstheme="minorHAnsi"/>
          <w:sz w:val="22"/>
          <w:szCs w:val="22"/>
        </w:rPr>
        <w:t xml:space="preserve">LYRASIS will apply an administrative fee of 4% for each order for libraries that are returning participants in the ARL/LYRASIS group license. New participants in the license will receive a 5% administrative </w:t>
      </w:r>
      <w:r w:rsidR="005B007B">
        <w:rPr>
          <w:rFonts w:asciiTheme="minorHAnsi" w:hAnsiTheme="minorHAnsi" w:cstheme="minorHAnsi"/>
          <w:sz w:val="22"/>
          <w:szCs w:val="22"/>
        </w:rPr>
        <w:t>fee. If</w:t>
      </w:r>
      <w:r>
        <w:rPr>
          <w:rFonts w:asciiTheme="minorHAnsi" w:hAnsiTheme="minorHAnsi" w:cstheme="minorHAnsi"/>
          <w:sz w:val="22"/>
          <w:szCs w:val="22"/>
        </w:rPr>
        <w:t xml:space="preserve"> the total dollar amount of orders exceeds $</w:t>
      </w:r>
      <w:r w:rsidR="00E22332">
        <w:rPr>
          <w:rFonts w:asciiTheme="minorHAnsi" w:hAnsiTheme="minorHAnsi" w:cstheme="minorHAnsi"/>
          <w:sz w:val="22"/>
          <w:szCs w:val="22"/>
        </w:rPr>
        <w:t>2</w:t>
      </w:r>
      <w:r>
        <w:rPr>
          <w:rFonts w:asciiTheme="minorHAnsi" w:hAnsiTheme="minorHAnsi" w:cstheme="minorHAnsi"/>
          <w:sz w:val="22"/>
          <w:szCs w:val="22"/>
        </w:rPr>
        <w:t xml:space="preserve"> million, the administrative fees will be scaled back in accordance with the agreement between ARL and LYRASIS. </w:t>
      </w:r>
    </w:p>
    <w:p w:rsidR="00276BB1" w:rsidRDefault="00276BB1" w:rsidP="00466F16">
      <w:pPr>
        <w:rPr>
          <w:rFonts w:asciiTheme="minorHAnsi" w:hAnsiTheme="minorHAnsi" w:cstheme="minorHAnsi"/>
          <w:sz w:val="22"/>
          <w:szCs w:val="22"/>
        </w:rPr>
      </w:pPr>
    </w:p>
    <w:p w:rsidR="00466F16" w:rsidRDefault="00466F16" w:rsidP="00466F16">
      <w:pPr>
        <w:rPr>
          <w:rFonts w:asciiTheme="minorHAnsi" w:hAnsiTheme="minorHAnsi" w:cstheme="minorHAnsi"/>
          <w:sz w:val="22"/>
          <w:szCs w:val="22"/>
        </w:rPr>
      </w:pPr>
      <w:r>
        <w:rPr>
          <w:rFonts w:asciiTheme="minorHAnsi" w:hAnsiTheme="minorHAnsi" w:cstheme="minorHAnsi"/>
          <w:sz w:val="22"/>
          <w:szCs w:val="22"/>
        </w:rPr>
        <w:t>Canadian institutions will be assessed the GST on their LYRASIS invoice due to the requirements of the De Gruyter fiscal office.</w:t>
      </w:r>
    </w:p>
    <w:p w:rsidR="00454A7E" w:rsidRDefault="00454A7E" w:rsidP="00DD21D7">
      <w:pPr>
        <w:rPr>
          <w:rFonts w:asciiTheme="minorHAnsi" w:hAnsiTheme="minorHAnsi" w:cstheme="minorHAnsi"/>
          <w:sz w:val="22"/>
          <w:szCs w:val="22"/>
        </w:rPr>
      </w:pPr>
    </w:p>
    <w:p w:rsidR="00EC78D8" w:rsidRPr="00EC78D8" w:rsidRDefault="00EC78D8" w:rsidP="00DD21D7">
      <w:pPr>
        <w:rPr>
          <w:rFonts w:asciiTheme="minorHAnsi" w:hAnsiTheme="minorHAnsi" w:cstheme="minorHAnsi"/>
          <w:b/>
          <w:sz w:val="22"/>
          <w:szCs w:val="22"/>
          <w:u w:val="single"/>
        </w:rPr>
      </w:pPr>
      <w:r w:rsidRPr="00CF78A2">
        <w:rPr>
          <w:rFonts w:asciiTheme="minorHAnsi" w:hAnsiTheme="minorHAnsi" w:cstheme="minorHAnsi"/>
          <w:b/>
          <w:sz w:val="22"/>
          <w:szCs w:val="22"/>
          <w:u w:val="single"/>
        </w:rPr>
        <w:t>General Information</w:t>
      </w:r>
    </w:p>
    <w:p w:rsidR="00EC78D8" w:rsidRDefault="00EC78D8" w:rsidP="00DD21D7">
      <w:pPr>
        <w:rPr>
          <w:rFonts w:asciiTheme="minorHAnsi" w:hAnsiTheme="minorHAnsi" w:cstheme="minorHAnsi"/>
          <w:sz w:val="22"/>
          <w:szCs w:val="22"/>
        </w:rPr>
      </w:pPr>
    </w:p>
    <w:p w:rsidR="00CF11BB" w:rsidRDefault="00770927" w:rsidP="00DD21D7">
      <w:pPr>
        <w:rPr>
          <w:rFonts w:asciiTheme="minorHAnsi" w:hAnsiTheme="minorHAnsi" w:cstheme="minorHAnsi"/>
          <w:sz w:val="22"/>
          <w:szCs w:val="22"/>
        </w:rPr>
      </w:pPr>
      <w:r>
        <w:rPr>
          <w:rFonts w:asciiTheme="minorHAnsi" w:hAnsiTheme="minorHAnsi" w:cstheme="minorHAnsi"/>
          <w:sz w:val="22"/>
          <w:szCs w:val="22"/>
        </w:rPr>
        <w:t xml:space="preserve">All University Press </w:t>
      </w:r>
      <w:r w:rsidR="0083120B">
        <w:rPr>
          <w:rFonts w:asciiTheme="minorHAnsi" w:hAnsiTheme="minorHAnsi" w:cstheme="minorHAnsi"/>
          <w:sz w:val="22"/>
          <w:szCs w:val="22"/>
        </w:rPr>
        <w:t>eBook Collections</w:t>
      </w:r>
      <w:r>
        <w:rPr>
          <w:rFonts w:asciiTheme="minorHAnsi" w:hAnsiTheme="minorHAnsi" w:cstheme="minorHAnsi"/>
          <w:sz w:val="22"/>
          <w:szCs w:val="22"/>
        </w:rPr>
        <w:t xml:space="preserve"> at De Gruyter </w:t>
      </w:r>
      <w:r w:rsidR="0083120B">
        <w:rPr>
          <w:rFonts w:asciiTheme="minorHAnsi" w:hAnsiTheme="minorHAnsi" w:cstheme="minorHAnsi"/>
          <w:sz w:val="22"/>
          <w:szCs w:val="22"/>
        </w:rPr>
        <w:t>are</w:t>
      </w:r>
      <w:r>
        <w:rPr>
          <w:rFonts w:asciiTheme="minorHAnsi" w:hAnsiTheme="minorHAnsi" w:cstheme="minorHAnsi"/>
          <w:sz w:val="22"/>
          <w:szCs w:val="22"/>
        </w:rPr>
        <w:t xml:space="preserve"> available for unlimited use with no DRM</w:t>
      </w:r>
      <w:r w:rsidR="00C37D67">
        <w:rPr>
          <w:rFonts w:asciiTheme="minorHAnsi" w:hAnsiTheme="minorHAnsi" w:cstheme="minorHAnsi"/>
          <w:sz w:val="22"/>
          <w:szCs w:val="22"/>
        </w:rPr>
        <w:t xml:space="preserve">. </w:t>
      </w:r>
      <w:r w:rsidR="0083120B">
        <w:rPr>
          <w:rFonts w:asciiTheme="minorHAnsi" w:hAnsiTheme="minorHAnsi" w:cstheme="minorHAnsi"/>
          <w:sz w:val="22"/>
          <w:szCs w:val="22"/>
        </w:rPr>
        <w:t>For the fort</w:t>
      </w:r>
      <w:r w:rsidR="00CF78A2">
        <w:rPr>
          <w:rFonts w:asciiTheme="minorHAnsi" w:hAnsiTheme="minorHAnsi" w:cstheme="minorHAnsi"/>
          <w:sz w:val="22"/>
          <w:szCs w:val="22"/>
        </w:rPr>
        <w:t>h</w:t>
      </w:r>
      <w:r w:rsidR="0083120B">
        <w:rPr>
          <w:rFonts w:asciiTheme="minorHAnsi" w:hAnsiTheme="minorHAnsi" w:cstheme="minorHAnsi"/>
          <w:sz w:val="22"/>
          <w:szCs w:val="22"/>
        </w:rPr>
        <w:t>coming titles, e</w:t>
      </w:r>
      <w:r w:rsidR="00EC78D8">
        <w:rPr>
          <w:rFonts w:asciiTheme="minorHAnsi" w:hAnsiTheme="minorHAnsi" w:cstheme="minorHAnsi"/>
          <w:sz w:val="22"/>
          <w:szCs w:val="22"/>
        </w:rPr>
        <w:t>-publication occurs at the same time as print publication.</w:t>
      </w:r>
      <w:r w:rsidR="0083120B">
        <w:rPr>
          <w:rFonts w:asciiTheme="minorHAnsi" w:hAnsiTheme="minorHAnsi" w:cstheme="minorHAnsi"/>
          <w:sz w:val="22"/>
          <w:szCs w:val="22"/>
        </w:rPr>
        <w:t xml:space="preserve"> The collections do not represent the complete title output from the presses, as they withhold some titles due to their potential for course adoption or rights clearance matters.</w:t>
      </w:r>
      <w:r w:rsidR="00EC78D8">
        <w:rPr>
          <w:rFonts w:asciiTheme="minorHAnsi" w:hAnsiTheme="minorHAnsi" w:cstheme="minorHAnsi"/>
          <w:sz w:val="22"/>
          <w:szCs w:val="22"/>
        </w:rPr>
        <w:t xml:space="preserve"> </w:t>
      </w:r>
    </w:p>
    <w:p w:rsidR="00A458BF" w:rsidRDefault="00A458BF" w:rsidP="00DD21D7">
      <w:pPr>
        <w:rPr>
          <w:rFonts w:asciiTheme="minorHAnsi" w:hAnsiTheme="minorHAnsi" w:cstheme="minorHAnsi"/>
          <w:sz w:val="22"/>
          <w:szCs w:val="22"/>
        </w:rPr>
      </w:pPr>
    </w:p>
    <w:p w:rsidR="00284502" w:rsidRDefault="0083120B" w:rsidP="00DD21D7">
      <w:pPr>
        <w:rPr>
          <w:rFonts w:asciiTheme="minorHAnsi" w:hAnsiTheme="minorHAnsi" w:cstheme="minorHAnsi"/>
          <w:sz w:val="22"/>
          <w:szCs w:val="22"/>
        </w:rPr>
      </w:pPr>
      <w:r>
        <w:rPr>
          <w:rFonts w:asciiTheme="minorHAnsi" w:hAnsiTheme="minorHAnsi" w:cstheme="minorHAnsi"/>
          <w:sz w:val="22"/>
          <w:szCs w:val="22"/>
        </w:rPr>
        <w:t>The ARL/LYRASIS negotiated license that governs the purchases includes</w:t>
      </w:r>
      <w:r w:rsidR="00284502">
        <w:rPr>
          <w:rFonts w:asciiTheme="minorHAnsi" w:hAnsiTheme="minorHAnsi" w:cstheme="minorHAnsi"/>
          <w:sz w:val="22"/>
          <w:szCs w:val="22"/>
        </w:rPr>
        <w:t>:</w:t>
      </w:r>
    </w:p>
    <w:p w:rsidR="00284502" w:rsidRDefault="00284502" w:rsidP="00DD21D7">
      <w:pPr>
        <w:rPr>
          <w:rFonts w:asciiTheme="minorHAnsi" w:hAnsiTheme="minorHAnsi" w:cstheme="minorHAnsi"/>
          <w:sz w:val="22"/>
          <w:szCs w:val="22"/>
        </w:rPr>
      </w:pPr>
    </w:p>
    <w:p w:rsidR="002D73E8" w:rsidRPr="002D73E8" w:rsidRDefault="00E66FBA" w:rsidP="002D73E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Scholarly sharing</w:t>
      </w:r>
      <w:r w:rsidR="00564EAF">
        <w:rPr>
          <w:rFonts w:asciiTheme="minorHAnsi" w:hAnsiTheme="minorHAnsi" w:cstheme="minorHAnsi"/>
          <w:sz w:val="22"/>
          <w:szCs w:val="22"/>
        </w:rPr>
        <w:t xml:space="preserve"> rights</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ADA </w:t>
      </w:r>
      <w:r w:rsidR="00564EAF">
        <w:rPr>
          <w:rFonts w:asciiTheme="minorHAnsi" w:hAnsiTheme="minorHAnsi" w:cstheme="minorHAnsi"/>
          <w:sz w:val="22"/>
          <w:szCs w:val="22"/>
        </w:rPr>
        <w:t>c</w:t>
      </w:r>
      <w:r>
        <w:rPr>
          <w:rFonts w:asciiTheme="minorHAnsi" w:hAnsiTheme="minorHAnsi" w:cstheme="minorHAnsi"/>
          <w:sz w:val="22"/>
          <w:szCs w:val="22"/>
        </w:rPr>
        <w:t>ompliance</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Indemnification </w:t>
      </w:r>
      <w:r w:rsidR="00141692">
        <w:rPr>
          <w:rFonts w:asciiTheme="minorHAnsi" w:hAnsiTheme="minorHAnsi" w:cstheme="minorHAnsi"/>
          <w:sz w:val="22"/>
          <w:szCs w:val="22"/>
        </w:rPr>
        <w:t>by De Gruyter</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Local loading of data by an institution or a trusted third party on behalf of an institution</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Text mining rights</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Perpetual use and local archiving rights</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Provision of copy of data upon termination</w:t>
      </w:r>
    </w:p>
    <w:p w:rsidR="00E66FBA" w:rsidRDefault="002D73E8"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w:t>
      </w:r>
      <w:r w:rsidR="00E66FBA">
        <w:rPr>
          <w:rFonts w:asciiTheme="minorHAnsi" w:hAnsiTheme="minorHAnsi" w:cstheme="minorHAnsi"/>
          <w:sz w:val="22"/>
          <w:szCs w:val="22"/>
        </w:rPr>
        <w:t xml:space="preserve"> annual hosting fee</w:t>
      </w:r>
    </w:p>
    <w:p w:rsidR="00E66FBA" w:rsidRPr="00284502" w:rsidRDefault="00E66FBA" w:rsidP="00E66FBA">
      <w:pPr>
        <w:pStyle w:val="ListParagraph"/>
        <w:rPr>
          <w:rFonts w:asciiTheme="minorHAnsi" w:hAnsiTheme="minorHAnsi" w:cstheme="minorHAnsi"/>
          <w:sz w:val="22"/>
          <w:szCs w:val="22"/>
        </w:rPr>
      </w:pPr>
    </w:p>
    <w:p w:rsidR="00564EAF" w:rsidRDefault="00564EAF" w:rsidP="00564EAF">
      <w:pPr>
        <w:pStyle w:val="ListParagraph"/>
        <w:ind w:left="0"/>
        <w:rPr>
          <w:rFonts w:asciiTheme="minorHAnsi" w:hAnsiTheme="minorHAnsi" w:cstheme="minorHAnsi"/>
          <w:b/>
          <w:sz w:val="22"/>
          <w:szCs w:val="22"/>
        </w:rPr>
      </w:pPr>
      <w:r w:rsidRPr="00EE6CCD">
        <w:rPr>
          <w:rFonts w:asciiTheme="minorHAnsi" w:hAnsiTheme="minorHAnsi" w:cstheme="minorHAnsi"/>
          <w:sz w:val="22"/>
          <w:szCs w:val="22"/>
        </w:rPr>
        <w:t xml:space="preserve">LYRASIS has signed </w:t>
      </w:r>
      <w:r w:rsidR="0083120B">
        <w:rPr>
          <w:rFonts w:asciiTheme="minorHAnsi" w:hAnsiTheme="minorHAnsi" w:cstheme="minorHAnsi"/>
          <w:sz w:val="22"/>
          <w:szCs w:val="22"/>
        </w:rPr>
        <w:t>this</w:t>
      </w:r>
      <w:r w:rsidRPr="00EE6CCD">
        <w:rPr>
          <w:rFonts w:asciiTheme="minorHAnsi" w:hAnsiTheme="minorHAnsi" w:cstheme="minorHAnsi"/>
          <w:sz w:val="22"/>
          <w:szCs w:val="22"/>
        </w:rPr>
        <w:t xml:space="preserve"> </w:t>
      </w:r>
      <w:hyperlink r:id="rId11" w:history="1">
        <w:r w:rsidR="004C3E96" w:rsidRPr="00EE6CCD">
          <w:rPr>
            <w:rStyle w:val="Hyperlink"/>
            <w:rFonts w:asciiTheme="minorHAnsi" w:hAnsiTheme="minorHAnsi" w:cstheme="minorHAnsi"/>
            <w:sz w:val="22"/>
            <w:szCs w:val="22"/>
          </w:rPr>
          <w:t xml:space="preserve">central </w:t>
        </w:r>
        <w:r w:rsidRPr="00EE6CCD">
          <w:rPr>
            <w:rStyle w:val="Hyperlink"/>
            <w:rFonts w:asciiTheme="minorHAnsi" w:hAnsiTheme="minorHAnsi" w:cstheme="minorHAnsi"/>
            <w:sz w:val="22"/>
            <w:szCs w:val="22"/>
          </w:rPr>
          <w:t>group license</w:t>
        </w:r>
      </w:hyperlink>
      <w:r w:rsidRPr="00EE6CCD">
        <w:rPr>
          <w:rFonts w:asciiTheme="minorHAnsi" w:hAnsiTheme="minorHAnsi" w:cstheme="minorHAnsi"/>
          <w:sz w:val="22"/>
          <w:szCs w:val="22"/>
        </w:rPr>
        <w:t xml:space="preserve"> with </w:t>
      </w:r>
      <w:r w:rsidR="00EE6CCD" w:rsidRPr="00EE6CCD">
        <w:rPr>
          <w:rFonts w:asciiTheme="minorHAnsi" w:hAnsiTheme="minorHAnsi" w:cstheme="minorHAnsi"/>
          <w:sz w:val="22"/>
          <w:szCs w:val="22"/>
        </w:rPr>
        <w:t>De Gruyter</w:t>
      </w:r>
      <w:r w:rsidR="00C37D67">
        <w:rPr>
          <w:rFonts w:asciiTheme="minorHAnsi" w:hAnsiTheme="minorHAnsi" w:cstheme="minorHAnsi"/>
          <w:sz w:val="22"/>
          <w:szCs w:val="22"/>
        </w:rPr>
        <w:t xml:space="preserve"> that is in alignment with the ARL required specifications.</w:t>
      </w:r>
      <w:r w:rsidRPr="00EE6CCD">
        <w:rPr>
          <w:rFonts w:asciiTheme="minorHAnsi" w:hAnsiTheme="minorHAnsi" w:cstheme="minorHAnsi"/>
          <w:sz w:val="22"/>
          <w:szCs w:val="22"/>
        </w:rPr>
        <w:t xml:space="preserve"> All libraries purchasing </w:t>
      </w:r>
      <w:r w:rsidR="0083120B">
        <w:rPr>
          <w:rFonts w:asciiTheme="minorHAnsi" w:hAnsiTheme="minorHAnsi" w:cstheme="minorHAnsi"/>
          <w:sz w:val="22"/>
          <w:szCs w:val="22"/>
        </w:rPr>
        <w:t>University Press eBook Collections</w:t>
      </w:r>
      <w:r w:rsidRPr="00EE6CCD">
        <w:rPr>
          <w:rFonts w:asciiTheme="minorHAnsi" w:hAnsiTheme="minorHAnsi" w:cstheme="minorHAnsi"/>
          <w:sz w:val="22"/>
          <w:szCs w:val="22"/>
        </w:rPr>
        <w:t xml:space="preserve"> </w:t>
      </w:r>
      <w:r w:rsidR="00EE6CCD" w:rsidRPr="00EE6CCD">
        <w:rPr>
          <w:rFonts w:asciiTheme="minorHAnsi" w:hAnsiTheme="minorHAnsi" w:cstheme="minorHAnsi"/>
          <w:sz w:val="22"/>
          <w:szCs w:val="22"/>
        </w:rPr>
        <w:t xml:space="preserve">at </w:t>
      </w:r>
      <w:r w:rsidR="00C37D67">
        <w:rPr>
          <w:rFonts w:asciiTheme="minorHAnsi" w:hAnsiTheme="minorHAnsi" w:cstheme="minorHAnsi"/>
          <w:sz w:val="22"/>
          <w:szCs w:val="22"/>
        </w:rPr>
        <w:t>D</w:t>
      </w:r>
      <w:r w:rsidR="00EE6CCD" w:rsidRPr="00EE6CCD">
        <w:rPr>
          <w:rFonts w:asciiTheme="minorHAnsi" w:hAnsiTheme="minorHAnsi" w:cstheme="minorHAnsi"/>
          <w:sz w:val="22"/>
          <w:szCs w:val="22"/>
        </w:rPr>
        <w:t xml:space="preserve">e Gruyter Online </w:t>
      </w:r>
      <w:r w:rsidRPr="00EE6CCD">
        <w:rPr>
          <w:rFonts w:asciiTheme="minorHAnsi" w:hAnsiTheme="minorHAnsi" w:cstheme="minorHAnsi"/>
          <w:sz w:val="22"/>
          <w:szCs w:val="22"/>
        </w:rPr>
        <w:t xml:space="preserve">through LYRASIS will be covered by the terms of this agreement. LYRASIS will be responsible for obtaining each institution’s agreement to abide by the terms of this central license, which we will do as part of the routine ordering process. </w:t>
      </w:r>
      <w:r w:rsidR="00035CD3" w:rsidRPr="00EE6CCD">
        <w:rPr>
          <w:rFonts w:asciiTheme="minorHAnsi" w:hAnsiTheme="minorHAnsi" w:cstheme="minorHAnsi"/>
          <w:sz w:val="22"/>
          <w:szCs w:val="22"/>
        </w:rPr>
        <w:t xml:space="preserve">The license document has intentionally been written to transcend state and U.S/Canadian boundaries. We recognize that legal offices at some institutions will require state-specific language, and we can facilitate amendments </w:t>
      </w:r>
      <w:r w:rsidRPr="00EE6CCD">
        <w:rPr>
          <w:rFonts w:asciiTheme="minorHAnsi" w:hAnsiTheme="minorHAnsi" w:cstheme="minorHAnsi"/>
          <w:sz w:val="22"/>
          <w:szCs w:val="22"/>
        </w:rPr>
        <w:t xml:space="preserve">of this type </w:t>
      </w:r>
      <w:r w:rsidR="00035CD3" w:rsidRPr="00EE6CCD">
        <w:rPr>
          <w:rFonts w:asciiTheme="minorHAnsi" w:hAnsiTheme="minorHAnsi" w:cstheme="minorHAnsi"/>
          <w:sz w:val="22"/>
          <w:szCs w:val="22"/>
        </w:rPr>
        <w:t xml:space="preserve">to the central license when </w:t>
      </w:r>
      <w:r w:rsidR="00DE52B9" w:rsidRPr="00EE6CCD">
        <w:rPr>
          <w:rFonts w:asciiTheme="minorHAnsi" w:hAnsiTheme="minorHAnsi" w:cstheme="minorHAnsi"/>
          <w:sz w:val="22"/>
          <w:szCs w:val="22"/>
        </w:rPr>
        <w:t xml:space="preserve">absolutely </w:t>
      </w:r>
      <w:r w:rsidR="00035CD3" w:rsidRPr="00EE6CCD">
        <w:rPr>
          <w:rFonts w:asciiTheme="minorHAnsi" w:hAnsiTheme="minorHAnsi" w:cstheme="minorHAnsi"/>
          <w:sz w:val="22"/>
          <w:szCs w:val="22"/>
        </w:rPr>
        <w:t xml:space="preserve">necessary. </w:t>
      </w:r>
      <w:r w:rsidR="00EE6CCD" w:rsidRPr="00EE6CCD">
        <w:rPr>
          <w:rFonts w:asciiTheme="minorHAnsi" w:hAnsiTheme="minorHAnsi" w:cstheme="minorHAnsi"/>
          <w:sz w:val="22"/>
          <w:szCs w:val="22"/>
        </w:rPr>
        <w:t xml:space="preserve"> </w:t>
      </w:r>
      <w:r w:rsidR="00EE6CCD" w:rsidRPr="00EE6CCD">
        <w:rPr>
          <w:rFonts w:asciiTheme="minorHAnsi" w:hAnsiTheme="minorHAnsi" w:cstheme="minorHAnsi"/>
          <w:b/>
          <w:sz w:val="22"/>
          <w:szCs w:val="22"/>
        </w:rPr>
        <w:t>If you have local requirements that necessitate a special amendment to th</w:t>
      </w:r>
      <w:r w:rsidR="00EE6CCD">
        <w:rPr>
          <w:rFonts w:asciiTheme="minorHAnsi" w:hAnsiTheme="minorHAnsi" w:cstheme="minorHAnsi"/>
          <w:b/>
          <w:sz w:val="22"/>
          <w:szCs w:val="22"/>
        </w:rPr>
        <w:t>e central</w:t>
      </w:r>
      <w:r w:rsidR="00EE6CCD" w:rsidRPr="00EE6CCD">
        <w:rPr>
          <w:rFonts w:asciiTheme="minorHAnsi" w:hAnsiTheme="minorHAnsi" w:cstheme="minorHAnsi"/>
          <w:b/>
          <w:sz w:val="22"/>
          <w:szCs w:val="22"/>
        </w:rPr>
        <w:t xml:space="preserve"> license and believe that you will be making a purchase, please let me know as soon as possible so that we can reach resolution</w:t>
      </w:r>
      <w:r w:rsidR="0012019C">
        <w:rPr>
          <w:rFonts w:asciiTheme="minorHAnsi" w:hAnsiTheme="minorHAnsi" w:cstheme="minorHAnsi"/>
          <w:b/>
          <w:sz w:val="22"/>
          <w:szCs w:val="22"/>
        </w:rPr>
        <w:t xml:space="preserve"> for each special circumstance</w:t>
      </w:r>
      <w:r w:rsidR="00EE6CCD" w:rsidRPr="00EE6CCD">
        <w:rPr>
          <w:rFonts w:asciiTheme="minorHAnsi" w:hAnsiTheme="minorHAnsi" w:cstheme="minorHAnsi"/>
          <w:b/>
          <w:sz w:val="22"/>
          <w:szCs w:val="22"/>
        </w:rPr>
        <w:t>.</w:t>
      </w:r>
    </w:p>
    <w:p w:rsidR="0083120B" w:rsidRDefault="0083120B" w:rsidP="00564EAF">
      <w:pPr>
        <w:pStyle w:val="ListParagraph"/>
        <w:ind w:left="0"/>
        <w:rPr>
          <w:rFonts w:asciiTheme="minorHAnsi" w:hAnsiTheme="minorHAnsi" w:cstheme="minorHAnsi"/>
          <w:b/>
          <w:sz w:val="22"/>
          <w:szCs w:val="22"/>
        </w:rPr>
      </w:pPr>
    </w:p>
    <w:p w:rsidR="00CF78A2" w:rsidRDefault="0083120B" w:rsidP="00564EAF">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Two of the university presses that </w:t>
      </w:r>
      <w:r w:rsidRPr="0083120B">
        <w:rPr>
          <w:rFonts w:asciiTheme="minorHAnsi" w:hAnsiTheme="minorHAnsi" w:cstheme="minorHAnsi"/>
          <w:sz w:val="22"/>
          <w:szCs w:val="22"/>
        </w:rPr>
        <w:t>De Gruyter has attracted to its platform</w:t>
      </w:r>
      <w:r>
        <w:rPr>
          <w:rFonts w:asciiTheme="minorHAnsi" w:hAnsiTheme="minorHAnsi" w:cstheme="minorHAnsi"/>
          <w:sz w:val="22"/>
          <w:szCs w:val="22"/>
        </w:rPr>
        <w:t xml:space="preserve">, Harvard and Columbia, have not aligned with </w:t>
      </w:r>
      <w:r w:rsidR="00CF78A2">
        <w:rPr>
          <w:rFonts w:asciiTheme="minorHAnsi" w:hAnsiTheme="minorHAnsi" w:cstheme="minorHAnsi"/>
          <w:sz w:val="22"/>
          <w:szCs w:val="22"/>
        </w:rPr>
        <w:t xml:space="preserve">the </w:t>
      </w:r>
      <w:r>
        <w:rPr>
          <w:rFonts w:asciiTheme="minorHAnsi" w:hAnsiTheme="minorHAnsi" w:cstheme="minorHAnsi"/>
          <w:sz w:val="22"/>
          <w:szCs w:val="22"/>
        </w:rPr>
        <w:t>other university press ebook aggregators</w:t>
      </w:r>
      <w:r w:rsidR="00CF78A2">
        <w:rPr>
          <w:rFonts w:asciiTheme="minorHAnsi" w:hAnsiTheme="minorHAnsi" w:cstheme="minorHAnsi"/>
          <w:sz w:val="22"/>
          <w:szCs w:val="22"/>
        </w:rPr>
        <w:t xml:space="preserve"> that have extended offers through the ARL Licensing Initiative (Project MUSE and Oxford University Press Scholarship Online).</w:t>
      </w:r>
      <w:r>
        <w:rPr>
          <w:rFonts w:asciiTheme="minorHAnsi" w:hAnsiTheme="minorHAnsi" w:cstheme="minorHAnsi"/>
          <w:sz w:val="22"/>
          <w:szCs w:val="22"/>
        </w:rPr>
        <w:t xml:space="preserve"> We are </w:t>
      </w:r>
      <w:r>
        <w:rPr>
          <w:rFonts w:asciiTheme="minorHAnsi" w:hAnsiTheme="minorHAnsi" w:cstheme="minorHAnsi"/>
          <w:sz w:val="22"/>
          <w:szCs w:val="22"/>
        </w:rPr>
        <w:lastRenderedPageBreak/>
        <w:t xml:space="preserve">particularly appreciative of </w:t>
      </w:r>
      <w:r w:rsidR="00CF78A2">
        <w:rPr>
          <w:rFonts w:asciiTheme="minorHAnsi" w:hAnsiTheme="minorHAnsi" w:cstheme="minorHAnsi"/>
          <w:sz w:val="22"/>
          <w:szCs w:val="22"/>
        </w:rPr>
        <w:t>De Gruyter’s</w:t>
      </w:r>
      <w:r>
        <w:rPr>
          <w:rFonts w:asciiTheme="minorHAnsi" w:hAnsiTheme="minorHAnsi" w:cstheme="minorHAnsi"/>
          <w:sz w:val="22"/>
          <w:szCs w:val="22"/>
        </w:rPr>
        <w:t xml:space="preserve"> work to bring these presses into </w:t>
      </w:r>
      <w:r w:rsidR="00E22332">
        <w:rPr>
          <w:rFonts w:asciiTheme="minorHAnsi" w:hAnsiTheme="minorHAnsi" w:cstheme="minorHAnsi"/>
          <w:sz w:val="22"/>
          <w:szCs w:val="22"/>
        </w:rPr>
        <w:t xml:space="preserve">a </w:t>
      </w:r>
      <w:r>
        <w:rPr>
          <w:rFonts w:asciiTheme="minorHAnsi" w:hAnsiTheme="minorHAnsi" w:cstheme="minorHAnsi"/>
          <w:sz w:val="22"/>
          <w:szCs w:val="22"/>
        </w:rPr>
        <w:t xml:space="preserve">collaborative environment with terms of use that meet ARL requirements. </w:t>
      </w:r>
    </w:p>
    <w:p w:rsidR="00CF78A2" w:rsidRDefault="00CF78A2" w:rsidP="00564EAF">
      <w:pPr>
        <w:pStyle w:val="ListParagraph"/>
        <w:ind w:left="0"/>
        <w:rPr>
          <w:rFonts w:asciiTheme="minorHAnsi" w:hAnsiTheme="minorHAnsi" w:cstheme="minorHAnsi"/>
          <w:sz w:val="22"/>
          <w:szCs w:val="22"/>
        </w:rPr>
      </w:pPr>
    </w:p>
    <w:p w:rsidR="0083120B" w:rsidRPr="0083120B" w:rsidRDefault="0083120B" w:rsidP="00564EAF">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Both Princeton University Press and the University of Pennsylvania Press place content in the Project MUSE/UPCC collections, so there is some title overlap between De Gruyter Online and Project MUSE. MUSE sells only </w:t>
      </w:r>
      <w:r w:rsidR="00CF78A2">
        <w:rPr>
          <w:rFonts w:asciiTheme="minorHAnsi" w:hAnsiTheme="minorHAnsi" w:cstheme="minorHAnsi"/>
          <w:sz w:val="22"/>
          <w:szCs w:val="22"/>
        </w:rPr>
        <w:t xml:space="preserve">multi-publisher </w:t>
      </w:r>
      <w:r>
        <w:rPr>
          <w:rFonts w:asciiTheme="minorHAnsi" w:hAnsiTheme="minorHAnsi" w:cstheme="minorHAnsi"/>
          <w:sz w:val="22"/>
          <w:szCs w:val="22"/>
        </w:rPr>
        <w:t xml:space="preserve">subject collections, whereas De Gruyter sells </w:t>
      </w:r>
      <w:r w:rsidR="00CF78A2">
        <w:rPr>
          <w:rFonts w:asciiTheme="minorHAnsi" w:hAnsiTheme="minorHAnsi" w:cstheme="minorHAnsi"/>
          <w:sz w:val="22"/>
          <w:szCs w:val="22"/>
        </w:rPr>
        <w:t>collections by press.</w:t>
      </w:r>
    </w:p>
    <w:p w:rsidR="00564EAF" w:rsidRPr="002D73E8" w:rsidRDefault="00564EAF" w:rsidP="00564EAF">
      <w:pPr>
        <w:pStyle w:val="ListParagraph"/>
        <w:ind w:left="0"/>
        <w:rPr>
          <w:rFonts w:asciiTheme="minorHAnsi" w:hAnsiTheme="minorHAnsi" w:cstheme="minorHAnsi"/>
          <w:sz w:val="22"/>
          <w:szCs w:val="22"/>
          <w:highlight w:val="yellow"/>
        </w:rPr>
      </w:pPr>
    </w:p>
    <w:p w:rsidR="0083120B" w:rsidRPr="002D73E8" w:rsidRDefault="0083120B" w:rsidP="00564EAF">
      <w:pPr>
        <w:pStyle w:val="ListParagraph"/>
        <w:ind w:left="0"/>
        <w:rPr>
          <w:rFonts w:asciiTheme="minorHAnsi" w:hAnsiTheme="minorHAnsi" w:cstheme="minorHAnsi"/>
          <w:sz w:val="22"/>
          <w:szCs w:val="22"/>
          <w:highlight w:val="yellow"/>
        </w:rPr>
      </w:pPr>
    </w:p>
    <w:p w:rsidR="00DC7304" w:rsidRDefault="00EC78D8" w:rsidP="00DD21D7">
      <w:pPr>
        <w:rPr>
          <w:rFonts w:asciiTheme="minorHAnsi" w:hAnsiTheme="minorHAnsi" w:cstheme="minorHAnsi"/>
          <w:sz w:val="22"/>
          <w:szCs w:val="22"/>
        </w:rPr>
      </w:pPr>
      <w:r>
        <w:rPr>
          <w:rFonts w:asciiTheme="minorHAnsi" w:hAnsiTheme="minorHAnsi" w:cstheme="minorHAnsi"/>
          <w:sz w:val="22"/>
          <w:szCs w:val="22"/>
        </w:rPr>
        <w:t xml:space="preserve">I believe that the offers described here represent good value for ARL libraries and look forward to your comments and responses. </w:t>
      </w:r>
      <w:r w:rsidR="00276BB1">
        <w:rPr>
          <w:rFonts w:asciiTheme="minorHAnsi" w:hAnsiTheme="minorHAnsi" w:cstheme="minorHAnsi"/>
          <w:sz w:val="22"/>
          <w:szCs w:val="22"/>
        </w:rPr>
        <w:t>Sharla Lair, our new Senior Licensing Program Account Manager, will be assisting me with th</w:t>
      </w:r>
      <w:r w:rsidR="00E22332">
        <w:rPr>
          <w:rFonts w:asciiTheme="minorHAnsi" w:hAnsiTheme="minorHAnsi" w:cstheme="minorHAnsi"/>
          <w:sz w:val="22"/>
          <w:szCs w:val="22"/>
        </w:rPr>
        <w:t>e</w:t>
      </w:r>
      <w:r w:rsidR="00276BB1">
        <w:rPr>
          <w:rFonts w:asciiTheme="minorHAnsi" w:hAnsiTheme="minorHAnsi" w:cstheme="minorHAnsi"/>
          <w:sz w:val="22"/>
          <w:szCs w:val="22"/>
        </w:rPr>
        <w:t xml:space="preserve"> De Gruyter Online</w:t>
      </w:r>
      <w:r w:rsidR="00E22332">
        <w:rPr>
          <w:rFonts w:asciiTheme="minorHAnsi" w:hAnsiTheme="minorHAnsi" w:cstheme="minorHAnsi"/>
          <w:sz w:val="22"/>
          <w:szCs w:val="22"/>
        </w:rPr>
        <w:t xml:space="preserve"> offer</w:t>
      </w:r>
      <w:r w:rsidR="00276BB1">
        <w:rPr>
          <w:rFonts w:asciiTheme="minorHAnsi" w:hAnsiTheme="minorHAnsi" w:cstheme="minorHAnsi"/>
          <w:sz w:val="22"/>
          <w:szCs w:val="22"/>
        </w:rPr>
        <w:t xml:space="preserve"> this year. We</w:t>
      </w:r>
      <w:r w:rsidR="00DC7304">
        <w:rPr>
          <w:rFonts w:asciiTheme="minorHAnsi" w:hAnsiTheme="minorHAnsi" w:cstheme="minorHAnsi"/>
          <w:sz w:val="22"/>
          <w:szCs w:val="22"/>
        </w:rPr>
        <w:t xml:space="preserve"> will be glad to address any questions and look forward to working with you.</w:t>
      </w:r>
    </w:p>
    <w:p w:rsidR="00B43553" w:rsidRDefault="00B43553" w:rsidP="00DD21D7">
      <w:pPr>
        <w:rPr>
          <w:rFonts w:asciiTheme="minorHAnsi" w:hAnsiTheme="minorHAnsi" w:cstheme="minorHAnsi"/>
          <w:sz w:val="22"/>
          <w:szCs w:val="22"/>
        </w:rPr>
      </w:pPr>
    </w:p>
    <w:p w:rsidR="0012019C" w:rsidRDefault="0012019C" w:rsidP="00DD21D7">
      <w:pPr>
        <w:rPr>
          <w:rFonts w:asciiTheme="minorHAnsi" w:hAnsiTheme="minorHAnsi" w:cstheme="minorHAnsi"/>
          <w:sz w:val="22"/>
          <w:szCs w:val="22"/>
        </w:rPr>
      </w:pPr>
    </w:p>
    <w:p w:rsidR="0012019C" w:rsidRPr="00826F06" w:rsidRDefault="0012019C" w:rsidP="00DD21D7">
      <w:pPr>
        <w:rPr>
          <w:rFonts w:asciiTheme="minorHAnsi" w:hAnsiTheme="minorHAnsi" w:cstheme="minorHAnsi"/>
          <w:sz w:val="22"/>
          <w:szCs w:val="22"/>
        </w:rPr>
      </w:pPr>
      <w:r w:rsidRPr="008102C7">
        <w:rPr>
          <w:rFonts w:ascii="Calibri" w:eastAsia="Calibri" w:hAnsi="Calibri"/>
          <w:noProof/>
          <w:sz w:val="22"/>
          <w:szCs w:val="22"/>
        </w:rPr>
        <w:drawing>
          <wp:inline distT="0" distB="0" distL="0" distR="0" wp14:anchorId="52CF99CB" wp14:editId="014BEDC5">
            <wp:extent cx="904875" cy="371475"/>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2" cstate="print">
                      <a:grayscl/>
                    </a:blip>
                    <a:srcRect l="6254" t="1632" r="79377" b="93007"/>
                    <a:stretch/>
                  </pic:blipFill>
                  <pic:spPr bwMode="auto">
                    <a:xfrm>
                      <a:off x="0" y="0"/>
                      <a:ext cx="904875" cy="371475"/>
                    </a:xfrm>
                    <a:prstGeom prst="rect">
                      <a:avLst/>
                    </a:prstGeom>
                    <a:ln>
                      <a:noFill/>
                    </a:ln>
                    <a:extLst>
                      <a:ext uri="{53640926-AAD7-44D8-BBD7-CCE9431645EC}">
                        <a14:shadowObscured xmlns:a14="http://schemas.microsoft.com/office/drawing/2010/main"/>
                      </a:ext>
                    </a:extLst>
                  </pic:spPr>
                </pic:pic>
              </a:graphicData>
            </a:graphic>
          </wp:inline>
        </w:drawing>
      </w:r>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p w:rsidR="00B43553" w:rsidRDefault="00B43553" w:rsidP="00B43553">
      <w:pPr>
        <w:rPr>
          <w:rFonts w:asciiTheme="minorHAnsi" w:hAnsiTheme="minorHAnsi" w:cstheme="minorHAnsi"/>
          <w:sz w:val="22"/>
          <w:szCs w:val="22"/>
        </w:rPr>
      </w:pPr>
      <w:r w:rsidRPr="00781ED2">
        <w:rPr>
          <w:rFonts w:asciiTheme="minorHAnsi" w:hAnsiTheme="minorHAnsi" w:cstheme="minorHAnsi"/>
          <w:sz w:val="22"/>
          <w:szCs w:val="22"/>
        </w:rPr>
        <w:t>Useful links:</w:t>
      </w:r>
    </w:p>
    <w:p w:rsidR="00276BB1" w:rsidRDefault="00276BB1" w:rsidP="00B43553">
      <w:pPr>
        <w:rPr>
          <w:rFonts w:asciiTheme="minorHAnsi" w:hAnsiTheme="minorHAnsi" w:cstheme="minorHAnsi"/>
          <w:sz w:val="22"/>
          <w:szCs w:val="22"/>
        </w:rPr>
      </w:pPr>
    </w:p>
    <w:p w:rsidR="00276BB1" w:rsidRDefault="00276BB1" w:rsidP="00B43553">
      <w:pPr>
        <w:rPr>
          <w:rFonts w:asciiTheme="minorHAnsi" w:hAnsiTheme="minorHAnsi" w:cstheme="minorHAnsi"/>
          <w:sz w:val="22"/>
          <w:szCs w:val="22"/>
        </w:rPr>
      </w:pPr>
      <w:r>
        <w:rPr>
          <w:rFonts w:asciiTheme="minorHAnsi" w:hAnsiTheme="minorHAnsi" w:cstheme="minorHAnsi"/>
          <w:sz w:val="22"/>
          <w:szCs w:val="22"/>
        </w:rPr>
        <w:t>Celeste Feather, Senior Director of Licensing and Strategic Partnerships, LYRASIS</w:t>
      </w:r>
    </w:p>
    <w:p w:rsidR="00276BB1" w:rsidRDefault="003C1C18" w:rsidP="00B43553">
      <w:pPr>
        <w:rPr>
          <w:rFonts w:asciiTheme="minorHAnsi" w:hAnsiTheme="minorHAnsi" w:cstheme="minorHAnsi"/>
          <w:sz w:val="22"/>
          <w:szCs w:val="22"/>
        </w:rPr>
      </w:pPr>
      <w:hyperlink r:id="rId13" w:history="1">
        <w:r w:rsidR="00276BB1" w:rsidRPr="0082648B">
          <w:rPr>
            <w:rStyle w:val="Hyperlink"/>
            <w:rFonts w:asciiTheme="minorHAnsi" w:hAnsiTheme="minorHAnsi" w:cstheme="minorHAnsi"/>
            <w:sz w:val="22"/>
            <w:szCs w:val="22"/>
          </w:rPr>
          <w:t>Celeste.Feather@lyrasis.org</w:t>
        </w:r>
      </w:hyperlink>
      <w:r w:rsidR="00276BB1">
        <w:rPr>
          <w:rFonts w:asciiTheme="minorHAnsi" w:hAnsiTheme="minorHAnsi" w:cstheme="minorHAnsi"/>
          <w:sz w:val="22"/>
          <w:szCs w:val="22"/>
        </w:rPr>
        <w:t>, 800-999-8558, ext. 2954</w:t>
      </w:r>
    </w:p>
    <w:p w:rsidR="00276BB1" w:rsidRDefault="00276BB1" w:rsidP="00B43553">
      <w:pPr>
        <w:rPr>
          <w:rFonts w:asciiTheme="minorHAnsi" w:hAnsiTheme="minorHAnsi" w:cstheme="minorHAnsi"/>
          <w:sz w:val="22"/>
          <w:szCs w:val="22"/>
        </w:rPr>
      </w:pPr>
    </w:p>
    <w:p w:rsidR="00276BB1" w:rsidRDefault="00276BB1" w:rsidP="00B43553">
      <w:pPr>
        <w:rPr>
          <w:rFonts w:asciiTheme="minorHAnsi" w:hAnsiTheme="minorHAnsi" w:cstheme="minorHAnsi"/>
          <w:sz w:val="22"/>
          <w:szCs w:val="22"/>
        </w:rPr>
      </w:pPr>
      <w:r>
        <w:rPr>
          <w:rFonts w:asciiTheme="minorHAnsi" w:hAnsiTheme="minorHAnsi" w:cstheme="minorHAnsi"/>
          <w:sz w:val="22"/>
          <w:szCs w:val="22"/>
        </w:rPr>
        <w:t>Sharla Lair, Senior Licensing Program Account Manager, LYRASIS</w:t>
      </w:r>
    </w:p>
    <w:p w:rsidR="00276BB1" w:rsidRPr="00781ED2" w:rsidRDefault="003C1C18" w:rsidP="00B43553">
      <w:pPr>
        <w:rPr>
          <w:rFonts w:asciiTheme="minorHAnsi" w:hAnsiTheme="minorHAnsi" w:cstheme="minorHAnsi"/>
          <w:sz w:val="22"/>
          <w:szCs w:val="22"/>
        </w:rPr>
      </w:pPr>
      <w:hyperlink r:id="rId14" w:history="1">
        <w:r w:rsidR="00276BB1" w:rsidRPr="0082648B">
          <w:rPr>
            <w:rStyle w:val="Hyperlink"/>
            <w:rFonts w:asciiTheme="minorHAnsi" w:hAnsiTheme="minorHAnsi" w:cstheme="minorHAnsi"/>
            <w:sz w:val="22"/>
            <w:szCs w:val="22"/>
          </w:rPr>
          <w:t>Sharla.Lair@lyrasis.org</w:t>
        </w:r>
      </w:hyperlink>
      <w:r w:rsidR="00276BB1">
        <w:rPr>
          <w:rFonts w:asciiTheme="minorHAnsi" w:hAnsiTheme="minorHAnsi" w:cstheme="minorHAnsi"/>
          <w:sz w:val="22"/>
          <w:szCs w:val="22"/>
        </w:rPr>
        <w:t>, 800-999-8558, ext. 2902</w:t>
      </w:r>
    </w:p>
    <w:p w:rsidR="00B43553" w:rsidRDefault="00B43553" w:rsidP="00B43553">
      <w:pPr>
        <w:rPr>
          <w:rFonts w:asciiTheme="minorHAnsi" w:hAnsiTheme="minorHAnsi" w:cstheme="minorHAnsi"/>
          <w:sz w:val="22"/>
          <w:szCs w:val="22"/>
        </w:rPr>
      </w:pPr>
    </w:p>
    <w:p w:rsidR="00276BB1" w:rsidRDefault="00276BB1" w:rsidP="00B43553">
      <w:pPr>
        <w:rPr>
          <w:rFonts w:asciiTheme="minorHAnsi" w:hAnsiTheme="minorHAnsi" w:cstheme="minorHAnsi"/>
          <w:sz w:val="22"/>
          <w:szCs w:val="22"/>
        </w:rPr>
      </w:pPr>
    </w:p>
    <w:p w:rsidR="00276BB1" w:rsidRDefault="003C1C18" w:rsidP="00B43553">
      <w:pPr>
        <w:rPr>
          <w:rFonts w:asciiTheme="minorHAnsi" w:hAnsiTheme="minorHAnsi" w:cstheme="minorHAnsi"/>
          <w:sz w:val="22"/>
          <w:szCs w:val="22"/>
        </w:rPr>
      </w:pPr>
      <w:hyperlink r:id="rId15" w:history="1">
        <w:r w:rsidR="00276BB1" w:rsidRPr="00276BB1">
          <w:rPr>
            <w:rStyle w:val="Hyperlink"/>
            <w:rFonts w:asciiTheme="minorHAnsi" w:hAnsiTheme="minorHAnsi" w:cstheme="minorHAnsi"/>
            <w:sz w:val="22"/>
            <w:szCs w:val="22"/>
          </w:rPr>
          <w:t>2015 University Press eBook Collections at De Gruyter Online – Pricing and Title Lists</w:t>
        </w:r>
      </w:hyperlink>
    </w:p>
    <w:p w:rsidR="00276BB1" w:rsidRDefault="00276BB1" w:rsidP="00B43553">
      <w:pPr>
        <w:rPr>
          <w:rFonts w:asciiTheme="minorHAnsi" w:hAnsiTheme="minorHAnsi" w:cstheme="minorHAnsi"/>
          <w:sz w:val="22"/>
          <w:szCs w:val="22"/>
        </w:rPr>
      </w:pPr>
    </w:p>
    <w:p w:rsidR="00521A34" w:rsidRDefault="00521A34" w:rsidP="00B43553">
      <w:pPr>
        <w:rPr>
          <w:rFonts w:asciiTheme="minorHAnsi" w:hAnsiTheme="minorHAnsi" w:cstheme="minorHAnsi"/>
          <w:sz w:val="22"/>
          <w:szCs w:val="22"/>
        </w:rPr>
      </w:pPr>
    </w:p>
    <w:p w:rsidR="005B007B" w:rsidRDefault="005B007B" w:rsidP="00B43553">
      <w:pPr>
        <w:rPr>
          <w:rFonts w:asciiTheme="minorHAnsi" w:hAnsiTheme="minorHAnsi" w:cstheme="minorHAnsi"/>
          <w:sz w:val="22"/>
          <w:szCs w:val="22"/>
        </w:rPr>
      </w:pPr>
    </w:p>
    <w:p w:rsidR="00276BB1" w:rsidRDefault="003C1C18" w:rsidP="00B43553">
      <w:pPr>
        <w:rPr>
          <w:rFonts w:asciiTheme="minorHAnsi" w:hAnsiTheme="minorHAnsi" w:cstheme="minorHAnsi"/>
          <w:sz w:val="22"/>
          <w:szCs w:val="22"/>
        </w:rPr>
      </w:pPr>
      <w:hyperlink r:id="rId16" w:history="1">
        <w:r w:rsidR="00276BB1" w:rsidRPr="005B007B">
          <w:rPr>
            <w:rStyle w:val="Hyperlink"/>
            <w:rFonts w:asciiTheme="minorHAnsi" w:hAnsiTheme="minorHAnsi" w:cstheme="minorHAnsi"/>
            <w:sz w:val="22"/>
            <w:szCs w:val="22"/>
          </w:rPr>
          <w:t xml:space="preserve">Survey to express intent to order Frontlist </w:t>
        </w:r>
        <w:r w:rsidR="00352567" w:rsidRPr="005B007B">
          <w:rPr>
            <w:rStyle w:val="Hyperlink"/>
            <w:rFonts w:asciiTheme="minorHAnsi" w:hAnsiTheme="minorHAnsi" w:cstheme="minorHAnsi"/>
            <w:sz w:val="22"/>
            <w:szCs w:val="22"/>
          </w:rPr>
          <w:t xml:space="preserve">and Backlist </w:t>
        </w:r>
        <w:r w:rsidR="00276BB1" w:rsidRPr="005B007B">
          <w:rPr>
            <w:rStyle w:val="Hyperlink"/>
            <w:rFonts w:asciiTheme="minorHAnsi" w:hAnsiTheme="minorHAnsi" w:cstheme="minorHAnsi"/>
            <w:sz w:val="22"/>
            <w:szCs w:val="22"/>
          </w:rPr>
          <w:t>Collections</w:t>
        </w:r>
      </w:hyperlink>
      <w:r w:rsidR="00276BB1">
        <w:rPr>
          <w:rFonts w:asciiTheme="minorHAnsi" w:hAnsiTheme="minorHAnsi" w:cstheme="minorHAnsi"/>
          <w:sz w:val="22"/>
          <w:szCs w:val="22"/>
        </w:rPr>
        <w:t xml:space="preserve"> – </w:t>
      </w:r>
      <w:r w:rsidR="00276BB1" w:rsidRPr="00276BB1">
        <w:rPr>
          <w:rFonts w:asciiTheme="minorHAnsi" w:hAnsiTheme="minorHAnsi" w:cstheme="minorHAnsi"/>
          <w:b/>
          <w:sz w:val="22"/>
          <w:szCs w:val="22"/>
        </w:rPr>
        <w:t>Due May 29, 2015</w:t>
      </w:r>
    </w:p>
    <w:p w:rsidR="00276BB1" w:rsidRDefault="00276BB1" w:rsidP="00B43553">
      <w:pPr>
        <w:rPr>
          <w:rFonts w:asciiTheme="minorHAnsi" w:hAnsiTheme="minorHAnsi" w:cstheme="minorHAnsi"/>
          <w:sz w:val="22"/>
          <w:szCs w:val="22"/>
        </w:rPr>
      </w:pPr>
    </w:p>
    <w:p w:rsidR="00276BB1" w:rsidRDefault="003C1C18" w:rsidP="00B43553">
      <w:pPr>
        <w:rPr>
          <w:rFonts w:asciiTheme="minorHAnsi" w:hAnsiTheme="minorHAnsi" w:cstheme="minorHAnsi"/>
          <w:sz w:val="22"/>
          <w:szCs w:val="22"/>
        </w:rPr>
      </w:pPr>
      <w:hyperlink r:id="rId17" w:history="1">
        <w:r w:rsidR="00276BB1" w:rsidRPr="00352567">
          <w:rPr>
            <w:rStyle w:val="Hyperlink"/>
            <w:rFonts w:asciiTheme="minorHAnsi" w:hAnsiTheme="minorHAnsi" w:cstheme="minorHAnsi"/>
            <w:sz w:val="22"/>
            <w:szCs w:val="22"/>
          </w:rPr>
          <w:t>Survey to express intent to order Archive Collections</w:t>
        </w:r>
      </w:hyperlink>
      <w:r w:rsidR="00276BB1">
        <w:rPr>
          <w:rFonts w:asciiTheme="minorHAnsi" w:hAnsiTheme="minorHAnsi" w:cstheme="minorHAnsi"/>
          <w:sz w:val="22"/>
          <w:szCs w:val="22"/>
        </w:rPr>
        <w:t xml:space="preserve"> – </w:t>
      </w:r>
      <w:r w:rsidR="00276BB1" w:rsidRPr="00276BB1">
        <w:rPr>
          <w:rFonts w:asciiTheme="minorHAnsi" w:hAnsiTheme="minorHAnsi" w:cstheme="minorHAnsi"/>
          <w:b/>
          <w:sz w:val="22"/>
          <w:szCs w:val="22"/>
        </w:rPr>
        <w:t>Due July 31, 2015</w:t>
      </w:r>
    </w:p>
    <w:p w:rsidR="00276BB1" w:rsidRDefault="00276BB1" w:rsidP="00B43553">
      <w:pPr>
        <w:rPr>
          <w:rFonts w:asciiTheme="minorHAnsi" w:hAnsiTheme="minorHAnsi" w:cstheme="minorHAnsi"/>
          <w:sz w:val="22"/>
          <w:szCs w:val="22"/>
        </w:rPr>
      </w:pPr>
    </w:p>
    <w:p w:rsidR="00276BB1" w:rsidRDefault="00276BB1" w:rsidP="00B43553">
      <w:pPr>
        <w:rPr>
          <w:rFonts w:asciiTheme="minorHAnsi" w:hAnsiTheme="minorHAnsi" w:cstheme="minorHAnsi"/>
          <w:sz w:val="22"/>
          <w:szCs w:val="22"/>
        </w:rPr>
      </w:pPr>
    </w:p>
    <w:p w:rsidR="005B007B" w:rsidRPr="00276BB1" w:rsidRDefault="005B007B" w:rsidP="00B43553">
      <w:pPr>
        <w:rPr>
          <w:rFonts w:asciiTheme="minorHAnsi" w:hAnsiTheme="minorHAnsi" w:cstheme="minorHAnsi"/>
          <w:sz w:val="22"/>
          <w:szCs w:val="22"/>
        </w:rPr>
      </w:pPr>
    </w:p>
    <w:p w:rsidR="00826F06" w:rsidRPr="00276BB1" w:rsidRDefault="003C1C18" w:rsidP="00B43553">
      <w:pPr>
        <w:rPr>
          <w:rFonts w:asciiTheme="minorHAnsi" w:hAnsiTheme="minorHAnsi" w:cstheme="minorHAnsi"/>
          <w:sz w:val="22"/>
          <w:szCs w:val="22"/>
        </w:rPr>
      </w:pPr>
      <w:hyperlink r:id="rId18" w:history="1">
        <w:r w:rsidR="00826F06" w:rsidRPr="00276BB1">
          <w:rPr>
            <w:rStyle w:val="Hyperlink"/>
            <w:rFonts w:asciiTheme="minorHAnsi" w:hAnsiTheme="minorHAnsi" w:cstheme="minorHAnsi"/>
            <w:sz w:val="22"/>
            <w:szCs w:val="22"/>
          </w:rPr>
          <w:t>LYRASIS</w:t>
        </w:r>
        <w:r w:rsidR="009157E0" w:rsidRPr="00276BB1">
          <w:rPr>
            <w:rStyle w:val="Hyperlink"/>
            <w:rFonts w:asciiTheme="minorHAnsi" w:hAnsiTheme="minorHAnsi" w:cstheme="minorHAnsi"/>
            <w:sz w:val="22"/>
            <w:szCs w:val="22"/>
          </w:rPr>
          <w:t>/ARL</w:t>
        </w:r>
        <w:r w:rsidR="00826F06" w:rsidRPr="00276BB1">
          <w:rPr>
            <w:rStyle w:val="Hyperlink"/>
            <w:rFonts w:asciiTheme="minorHAnsi" w:hAnsiTheme="minorHAnsi" w:cstheme="minorHAnsi"/>
            <w:sz w:val="22"/>
            <w:szCs w:val="22"/>
          </w:rPr>
          <w:t xml:space="preserve"> central license with De Gruyter</w:t>
        </w:r>
      </w:hyperlink>
      <w:r w:rsidR="00826F06" w:rsidRPr="00276BB1">
        <w:rPr>
          <w:rFonts w:asciiTheme="minorHAnsi" w:hAnsiTheme="minorHAnsi" w:cstheme="minorHAnsi"/>
          <w:sz w:val="22"/>
          <w:szCs w:val="22"/>
        </w:rPr>
        <w:t xml:space="preserve"> </w:t>
      </w:r>
    </w:p>
    <w:p w:rsidR="00826F06" w:rsidRDefault="00826F06" w:rsidP="00B43553">
      <w:pPr>
        <w:rPr>
          <w:rFonts w:asciiTheme="minorHAnsi" w:hAnsiTheme="minorHAnsi" w:cstheme="minorHAnsi"/>
          <w:sz w:val="22"/>
          <w:szCs w:val="22"/>
        </w:rPr>
      </w:pPr>
    </w:p>
    <w:p w:rsidR="00276BB1" w:rsidRPr="00276BB1" w:rsidRDefault="00276BB1" w:rsidP="00B43553">
      <w:pPr>
        <w:rPr>
          <w:rFonts w:asciiTheme="minorHAnsi" w:hAnsiTheme="minorHAnsi" w:cstheme="minorHAnsi"/>
          <w:sz w:val="22"/>
          <w:szCs w:val="22"/>
        </w:rPr>
      </w:pPr>
    </w:p>
    <w:p w:rsidR="00826F06" w:rsidRPr="00276BB1" w:rsidRDefault="00826F06" w:rsidP="00B43553">
      <w:pPr>
        <w:rPr>
          <w:rFonts w:asciiTheme="minorHAnsi" w:hAnsiTheme="minorHAnsi" w:cstheme="minorHAnsi"/>
          <w:sz w:val="22"/>
          <w:szCs w:val="22"/>
        </w:rPr>
      </w:pPr>
    </w:p>
    <w:p w:rsidR="0012019C" w:rsidRPr="00276BB1" w:rsidRDefault="00276BB1" w:rsidP="00B43553">
      <w:p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"http://www.degruyter.com/dg/page/327" </w:instrText>
      </w:r>
      <w:r>
        <w:rPr>
          <w:rFonts w:asciiTheme="minorHAnsi" w:hAnsiTheme="minorHAnsi" w:cstheme="minorHAnsi"/>
          <w:sz w:val="22"/>
          <w:szCs w:val="22"/>
        </w:rPr>
        <w:fldChar w:fldCharType="separate"/>
      </w:r>
      <w:r w:rsidR="00781ED2" w:rsidRPr="00276BB1">
        <w:rPr>
          <w:rStyle w:val="Hyperlink"/>
          <w:rFonts w:asciiTheme="minorHAnsi" w:hAnsiTheme="minorHAnsi" w:cstheme="minorHAnsi"/>
          <w:sz w:val="22"/>
          <w:szCs w:val="22"/>
        </w:rPr>
        <w:t>H</w:t>
      </w:r>
      <w:r w:rsidRPr="00276BB1">
        <w:rPr>
          <w:rStyle w:val="Hyperlink"/>
          <w:rFonts w:asciiTheme="minorHAnsi" w:hAnsiTheme="minorHAnsi" w:cstheme="minorHAnsi"/>
          <w:sz w:val="22"/>
          <w:szCs w:val="22"/>
        </w:rPr>
        <w:t xml:space="preserve">arvard </w:t>
      </w:r>
      <w:r w:rsidR="00781ED2" w:rsidRPr="00276BB1">
        <w:rPr>
          <w:rStyle w:val="Hyperlink"/>
          <w:rFonts w:asciiTheme="minorHAnsi" w:hAnsiTheme="minorHAnsi" w:cstheme="minorHAnsi"/>
          <w:sz w:val="22"/>
          <w:szCs w:val="22"/>
        </w:rPr>
        <w:t>U</w:t>
      </w:r>
      <w:r w:rsidRPr="00276BB1">
        <w:rPr>
          <w:rStyle w:val="Hyperlink"/>
          <w:rFonts w:asciiTheme="minorHAnsi" w:hAnsiTheme="minorHAnsi" w:cstheme="minorHAnsi"/>
          <w:sz w:val="22"/>
          <w:szCs w:val="22"/>
        </w:rPr>
        <w:t xml:space="preserve">niversity </w:t>
      </w:r>
      <w:r w:rsidR="00781ED2" w:rsidRPr="00276BB1">
        <w:rPr>
          <w:rStyle w:val="Hyperlink"/>
          <w:rFonts w:asciiTheme="minorHAnsi" w:hAnsiTheme="minorHAnsi" w:cstheme="minorHAnsi"/>
          <w:sz w:val="22"/>
          <w:szCs w:val="22"/>
        </w:rPr>
        <w:t>P</w:t>
      </w:r>
      <w:r w:rsidRPr="00276BB1">
        <w:rPr>
          <w:rStyle w:val="Hyperlink"/>
          <w:rFonts w:asciiTheme="minorHAnsi" w:hAnsiTheme="minorHAnsi" w:cstheme="minorHAnsi"/>
          <w:sz w:val="22"/>
          <w:szCs w:val="22"/>
        </w:rPr>
        <w:t>ress</w:t>
      </w:r>
      <w:r w:rsidR="00781ED2" w:rsidRPr="00276BB1">
        <w:rPr>
          <w:rStyle w:val="Hyperlink"/>
          <w:rFonts w:asciiTheme="minorHAnsi" w:hAnsiTheme="minorHAnsi" w:cstheme="minorHAnsi"/>
          <w:sz w:val="22"/>
          <w:szCs w:val="22"/>
        </w:rPr>
        <w:t xml:space="preserve"> eBooks at D</w:t>
      </w:r>
      <w:r w:rsidR="0012019C" w:rsidRPr="00276BB1">
        <w:rPr>
          <w:rStyle w:val="Hyperlink"/>
          <w:rFonts w:asciiTheme="minorHAnsi" w:hAnsiTheme="minorHAnsi" w:cstheme="minorHAnsi"/>
          <w:sz w:val="22"/>
          <w:szCs w:val="22"/>
        </w:rPr>
        <w:t>e Gruyter Online</w:t>
      </w:r>
    </w:p>
    <w:p w:rsidR="00276BB1" w:rsidRDefault="00276BB1" w:rsidP="00276BB1">
      <w:pPr>
        <w:rPr>
          <w:rStyle w:val="Hyperlink"/>
          <w:rFonts w:asciiTheme="minorHAnsi" w:hAnsiTheme="minorHAnsi" w:cstheme="minorHAnsi"/>
          <w:color w:val="auto"/>
          <w:sz w:val="22"/>
          <w:szCs w:val="22"/>
          <w:u w:val="none"/>
        </w:rPr>
      </w:pPr>
      <w:r>
        <w:rPr>
          <w:rFonts w:asciiTheme="minorHAnsi" w:hAnsiTheme="minorHAnsi" w:cstheme="minorHAnsi"/>
          <w:sz w:val="22"/>
          <w:szCs w:val="22"/>
        </w:rPr>
        <w:fldChar w:fldCharType="end"/>
      </w:r>
    </w:p>
    <w:p w:rsidR="00276BB1" w:rsidRPr="00276BB1" w:rsidRDefault="003C1C18" w:rsidP="00276BB1">
      <w:pPr>
        <w:rPr>
          <w:rStyle w:val="Hyperlink"/>
          <w:rFonts w:asciiTheme="minorHAnsi" w:hAnsiTheme="minorHAnsi" w:cstheme="minorHAnsi"/>
          <w:color w:val="auto"/>
          <w:sz w:val="22"/>
          <w:szCs w:val="22"/>
          <w:u w:val="none"/>
        </w:rPr>
      </w:pPr>
      <w:hyperlink r:id="rId19" w:history="1">
        <w:r w:rsidR="00276BB1" w:rsidRPr="00276BB1">
          <w:rPr>
            <w:rStyle w:val="Hyperlink"/>
            <w:rFonts w:asciiTheme="minorHAnsi" w:hAnsiTheme="minorHAnsi" w:cstheme="minorHAnsi"/>
            <w:sz w:val="22"/>
            <w:szCs w:val="22"/>
          </w:rPr>
          <w:t>Princeton University Press eBooks at De Gruyter Online</w:t>
        </w:r>
      </w:hyperlink>
    </w:p>
    <w:p w:rsidR="00276BB1" w:rsidRDefault="00276BB1" w:rsidP="00276BB1">
      <w:pPr>
        <w:rPr>
          <w:rStyle w:val="Hyperlink"/>
          <w:rFonts w:asciiTheme="minorHAnsi" w:hAnsiTheme="minorHAnsi" w:cstheme="minorHAnsi"/>
          <w:color w:val="auto"/>
          <w:sz w:val="22"/>
          <w:szCs w:val="22"/>
          <w:u w:val="none"/>
        </w:rPr>
      </w:pPr>
    </w:p>
    <w:p w:rsidR="00276BB1" w:rsidRPr="00276BB1" w:rsidRDefault="003C1C18" w:rsidP="00276BB1">
      <w:pPr>
        <w:rPr>
          <w:rStyle w:val="Hyperlink"/>
          <w:rFonts w:asciiTheme="minorHAnsi" w:hAnsiTheme="minorHAnsi" w:cstheme="minorHAnsi"/>
          <w:color w:val="auto"/>
          <w:sz w:val="22"/>
          <w:szCs w:val="22"/>
          <w:u w:val="none"/>
        </w:rPr>
      </w:pPr>
      <w:hyperlink r:id="rId20" w:history="1">
        <w:r w:rsidR="00276BB1" w:rsidRPr="00276BB1">
          <w:rPr>
            <w:rStyle w:val="Hyperlink"/>
            <w:rFonts w:asciiTheme="minorHAnsi" w:hAnsiTheme="minorHAnsi" w:cstheme="minorHAnsi"/>
            <w:sz w:val="22"/>
            <w:szCs w:val="22"/>
          </w:rPr>
          <w:t>University of Pennsylvania Press eBooks at De Gruyter Online</w:t>
        </w:r>
      </w:hyperlink>
    </w:p>
    <w:p w:rsidR="00276BB1" w:rsidRDefault="00276BB1" w:rsidP="00276BB1">
      <w:pPr>
        <w:rPr>
          <w:rStyle w:val="Hyperlink"/>
          <w:rFonts w:asciiTheme="minorHAnsi" w:hAnsiTheme="minorHAnsi" w:cstheme="minorHAnsi"/>
          <w:color w:val="auto"/>
          <w:sz w:val="22"/>
          <w:szCs w:val="22"/>
          <w:u w:val="none"/>
        </w:rPr>
      </w:pPr>
    </w:p>
    <w:p w:rsidR="00276BB1" w:rsidRPr="00276BB1" w:rsidRDefault="00276BB1" w:rsidP="00276BB1">
      <w:r w:rsidRPr="00276BB1">
        <w:rPr>
          <w:rStyle w:val="Hyperlink"/>
          <w:rFonts w:asciiTheme="minorHAnsi" w:hAnsiTheme="minorHAnsi" w:cstheme="minorHAnsi"/>
          <w:color w:val="auto"/>
          <w:sz w:val="22"/>
          <w:szCs w:val="22"/>
          <w:u w:val="none"/>
        </w:rPr>
        <w:t>Columbia University Press eBooks at De Gruyter Online – coming soon</w:t>
      </w:r>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sectPr w:rsidR="0012019C" w:rsidSect="00117E85">
      <w:headerReference w:type="default" r:id="rId21"/>
      <w:footerReference w:type="default" r:id="rId22"/>
      <w:headerReference w:type="firs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18" w:rsidRDefault="003C1C18">
      <w:r>
        <w:separator/>
      </w:r>
    </w:p>
  </w:endnote>
  <w:endnote w:type="continuationSeparator" w:id="0">
    <w:p w:rsidR="003C1C18" w:rsidRDefault="003C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altName w:val="Arial"/>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313324"/>
      <w:docPartObj>
        <w:docPartGallery w:val="Page Numbers (Bottom of Page)"/>
        <w:docPartUnique/>
      </w:docPartObj>
    </w:sdtPr>
    <w:sdtEndPr>
      <w:rPr>
        <w:rFonts w:asciiTheme="minorHAnsi" w:hAnsiTheme="minorHAnsi"/>
        <w:noProof/>
        <w:sz w:val="22"/>
        <w:szCs w:val="22"/>
      </w:rPr>
    </w:sdtEndPr>
    <w:sdtContent>
      <w:p w:rsidR="00117E85" w:rsidRPr="00117E85" w:rsidRDefault="00117E85">
        <w:pPr>
          <w:pStyle w:val="Footer"/>
          <w:jc w:val="center"/>
          <w:rPr>
            <w:rFonts w:asciiTheme="minorHAnsi" w:hAnsiTheme="minorHAnsi"/>
            <w:sz w:val="22"/>
            <w:szCs w:val="22"/>
          </w:rPr>
        </w:pPr>
        <w:r w:rsidRPr="00117E85">
          <w:rPr>
            <w:rFonts w:asciiTheme="minorHAnsi" w:hAnsiTheme="minorHAnsi"/>
            <w:sz w:val="22"/>
            <w:szCs w:val="22"/>
          </w:rPr>
          <w:fldChar w:fldCharType="begin"/>
        </w:r>
        <w:r w:rsidRPr="00117E85">
          <w:rPr>
            <w:rFonts w:asciiTheme="minorHAnsi" w:hAnsiTheme="minorHAnsi"/>
            <w:sz w:val="22"/>
            <w:szCs w:val="22"/>
          </w:rPr>
          <w:instrText xml:space="preserve"> PAGE   \* MERGEFORMAT </w:instrText>
        </w:r>
        <w:r w:rsidRPr="00117E85">
          <w:rPr>
            <w:rFonts w:asciiTheme="minorHAnsi" w:hAnsiTheme="minorHAnsi"/>
            <w:sz w:val="22"/>
            <w:szCs w:val="22"/>
          </w:rPr>
          <w:fldChar w:fldCharType="separate"/>
        </w:r>
        <w:r w:rsidR="00975948">
          <w:rPr>
            <w:rFonts w:asciiTheme="minorHAnsi" w:hAnsiTheme="minorHAnsi"/>
            <w:noProof/>
            <w:sz w:val="22"/>
            <w:szCs w:val="22"/>
          </w:rPr>
          <w:t>2</w:t>
        </w:r>
        <w:r w:rsidRPr="00117E85">
          <w:rPr>
            <w:rFonts w:asciiTheme="minorHAnsi" w:hAnsiTheme="minorHAnsi"/>
            <w:noProof/>
            <w:sz w:val="22"/>
            <w:szCs w:val="22"/>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36663"/>
      <w:docPartObj>
        <w:docPartGallery w:val="Page Numbers (Bottom of Page)"/>
        <w:docPartUnique/>
      </w:docPartObj>
    </w:sdtPr>
    <w:sdtEndPr>
      <w:rPr>
        <w:rFonts w:asciiTheme="minorHAnsi" w:hAnsiTheme="minorHAnsi"/>
        <w:noProof/>
      </w:rPr>
    </w:sdtEndPr>
    <w:sdtContent>
      <w:p w:rsidR="00117E85" w:rsidRPr="00117E85" w:rsidRDefault="00117E85">
        <w:pPr>
          <w:pStyle w:val="Footer"/>
          <w:jc w:val="center"/>
          <w:rPr>
            <w:rFonts w:asciiTheme="minorHAnsi" w:hAnsiTheme="minorHAnsi"/>
          </w:rPr>
        </w:pPr>
        <w:r w:rsidRPr="00117E85">
          <w:rPr>
            <w:rFonts w:asciiTheme="minorHAnsi" w:hAnsiTheme="minorHAnsi"/>
          </w:rPr>
          <w:fldChar w:fldCharType="begin"/>
        </w:r>
        <w:r w:rsidRPr="00117E85">
          <w:rPr>
            <w:rFonts w:asciiTheme="minorHAnsi" w:hAnsiTheme="minorHAnsi"/>
          </w:rPr>
          <w:instrText xml:space="preserve"> PAGE   \* MERGEFORMAT </w:instrText>
        </w:r>
        <w:r w:rsidRPr="00117E85">
          <w:rPr>
            <w:rFonts w:asciiTheme="minorHAnsi" w:hAnsiTheme="minorHAnsi"/>
          </w:rPr>
          <w:fldChar w:fldCharType="separate"/>
        </w:r>
        <w:r>
          <w:rPr>
            <w:rFonts w:asciiTheme="minorHAnsi" w:hAnsiTheme="minorHAnsi"/>
            <w:noProof/>
          </w:rPr>
          <w:t>1</w:t>
        </w:r>
        <w:r w:rsidRPr="00117E85">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18" w:rsidRDefault="003C1C18">
      <w:r>
        <w:separator/>
      </w:r>
    </w:p>
  </w:footnote>
  <w:footnote w:type="continuationSeparator" w:id="0">
    <w:p w:rsidR="003C1C18" w:rsidRDefault="003C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17624C41" wp14:editId="31142AB0">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6DB669F1" wp14:editId="0A0B31BF">
          <wp:simplePos x="0" y="0"/>
          <wp:positionH relativeFrom="column">
            <wp:posOffset>3728720</wp:posOffset>
          </wp:positionH>
          <wp:positionV relativeFrom="page">
            <wp:posOffset>426720</wp:posOffset>
          </wp:positionV>
          <wp:extent cx="2819400" cy="821055"/>
          <wp:effectExtent l="0" t="0" r="0" b="0"/>
          <wp:wrapNone/>
          <wp:docPr id="3" name="Picture 3"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0A86"/>
    <w:multiLevelType w:val="multilevel"/>
    <w:tmpl w:val="B0C4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068F"/>
    <w:multiLevelType w:val="hybridMultilevel"/>
    <w:tmpl w:val="86D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54A5F"/>
    <w:multiLevelType w:val="hybridMultilevel"/>
    <w:tmpl w:val="E1CE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A592A"/>
    <w:multiLevelType w:val="hybridMultilevel"/>
    <w:tmpl w:val="851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8"/>
  </w:num>
  <w:num w:numId="6">
    <w:abstractNumId w:val="6"/>
  </w:num>
  <w:num w:numId="7">
    <w:abstractNumId w:val="7"/>
  </w:num>
  <w:num w:numId="8">
    <w:abstractNumId w:val="11"/>
  </w:num>
  <w:num w:numId="9">
    <w:abstractNumId w:val="0"/>
  </w:num>
  <w:num w:numId="10">
    <w:abstractNumId w:val="9"/>
  </w:num>
  <w:num w:numId="11">
    <w:abstractNumId w:val="3"/>
  </w:num>
  <w:num w:numId="12">
    <w:abstractNumId w:val="1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D53"/>
    <w:rsid w:val="00012C2E"/>
    <w:rsid w:val="00035CD3"/>
    <w:rsid w:val="0004223F"/>
    <w:rsid w:val="0004683E"/>
    <w:rsid w:val="00055835"/>
    <w:rsid w:val="00072721"/>
    <w:rsid w:val="000847F6"/>
    <w:rsid w:val="000D2232"/>
    <w:rsid w:val="000D228F"/>
    <w:rsid w:val="000E02FC"/>
    <w:rsid w:val="000E2823"/>
    <w:rsid w:val="000E39E1"/>
    <w:rsid w:val="000F4EFD"/>
    <w:rsid w:val="000F5A0B"/>
    <w:rsid w:val="001037F8"/>
    <w:rsid w:val="00105E8B"/>
    <w:rsid w:val="00117E85"/>
    <w:rsid w:val="0012019C"/>
    <w:rsid w:val="00131AFA"/>
    <w:rsid w:val="00141692"/>
    <w:rsid w:val="00145E61"/>
    <w:rsid w:val="00171D9B"/>
    <w:rsid w:val="00174F55"/>
    <w:rsid w:val="0017790A"/>
    <w:rsid w:val="00186A5B"/>
    <w:rsid w:val="001936F5"/>
    <w:rsid w:val="00197ADA"/>
    <w:rsid w:val="001C0C70"/>
    <w:rsid w:val="001D09CA"/>
    <w:rsid w:val="001D0E9A"/>
    <w:rsid w:val="001D58E5"/>
    <w:rsid w:val="001E7894"/>
    <w:rsid w:val="001F52A3"/>
    <w:rsid w:val="002108B6"/>
    <w:rsid w:val="00256C8C"/>
    <w:rsid w:val="00275911"/>
    <w:rsid w:val="00276BB1"/>
    <w:rsid w:val="00284502"/>
    <w:rsid w:val="00287A81"/>
    <w:rsid w:val="00287BA7"/>
    <w:rsid w:val="00295CFF"/>
    <w:rsid w:val="00296F0B"/>
    <w:rsid w:val="002B1A92"/>
    <w:rsid w:val="002D73E8"/>
    <w:rsid w:val="002F3464"/>
    <w:rsid w:val="0032291B"/>
    <w:rsid w:val="0032362E"/>
    <w:rsid w:val="00327756"/>
    <w:rsid w:val="00330A97"/>
    <w:rsid w:val="00341059"/>
    <w:rsid w:val="00352567"/>
    <w:rsid w:val="003573B7"/>
    <w:rsid w:val="00384638"/>
    <w:rsid w:val="00395488"/>
    <w:rsid w:val="003A5310"/>
    <w:rsid w:val="003C08CD"/>
    <w:rsid w:val="003C1C18"/>
    <w:rsid w:val="003D3D23"/>
    <w:rsid w:val="003D5F99"/>
    <w:rsid w:val="003F13BA"/>
    <w:rsid w:val="003F6CAA"/>
    <w:rsid w:val="00402EEB"/>
    <w:rsid w:val="00411614"/>
    <w:rsid w:val="0044078A"/>
    <w:rsid w:val="00452CF4"/>
    <w:rsid w:val="00454A7E"/>
    <w:rsid w:val="00466DC9"/>
    <w:rsid w:val="00466F16"/>
    <w:rsid w:val="0047713F"/>
    <w:rsid w:val="0049268C"/>
    <w:rsid w:val="00493583"/>
    <w:rsid w:val="00494EE4"/>
    <w:rsid w:val="004960B5"/>
    <w:rsid w:val="004A0055"/>
    <w:rsid w:val="004C190D"/>
    <w:rsid w:val="004C1C04"/>
    <w:rsid w:val="004C3E96"/>
    <w:rsid w:val="004E0560"/>
    <w:rsid w:val="004E71FB"/>
    <w:rsid w:val="004F76E8"/>
    <w:rsid w:val="0051354F"/>
    <w:rsid w:val="00521A34"/>
    <w:rsid w:val="00564EAF"/>
    <w:rsid w:val="00574411"/>
    <w:rsid w:val="005B007B"/>
    <w:rsid w:val="006035FC"/>
    <w:rsid w:val="00624FC2"/>
    <w:rsid w:val="006402BA"/>
    <w:rsid w:val="00642C33"/>
    <w:rsid w:val="00660ED3"/>
    <w:rsid w:val="00662F8B"/>
    <w:rsid w:val="00677914"/>
    <w:rsid w:val="006A2C5F"/>
    <w:rsid w:val="006D6D5B"/>
    <w:rsid w:val="00703399"/>
    <w:rsid w:val="0071642B"/>
    <w:rsid w:val="00731762"/>
    <w:rsid w:val="00770927"/>
    <w:rsid w:val="00777B78"/>
    <w:rsid w:val="00781ED2"/>
    <w:rsid w:val="00786779"/>
    <w:rsid w:val="007A63CC"/>
    <w:rsid w:val="007B23FB"/>
    <w:rsid w:val="007B69C2"/>
    <w:rsid w:val="007C4CDD"/>
    <w:rsid w:val="0080011A"/>
    <w:rsid w:val="008159AF"/>
    <w:rsid w:val="00826F06"/>
    <w:rsid w:val="008279E0"/>
    <w:rsid w:val="0083120B"/>
    <w:rsid w:val="008534CA"/>
    <w:rsid w:val="00867DE0"/>
    <w:rsid w:val="00872681"/>
    <w:rsid w:val="008A4D79"/>
    <w:rsid w:val="008B2589"/>
    <w:rsid w:val="008C603B"/>
    <w:rsid w:val="008D6AD2"/>
    <w:rsid w:val="008E7C04"/>
    <w:rsid w:val="0090434F"/>
    <w:rsid w:val="00906B9A"/>
    <w:rsid w:val="009157E0"/>
    <w:rsid w:val="0094187D"/>
    <w:rsid w:val="00942AAD"/>
    <w:rsid w:val="009451BC"/>
    <w:rsid w:val="00963C01"/>
    <w:rsid w:val="00964F14"/>
    <w:rsid w:val="009672D0"/>
    <w:rsid w:val="00975948"/>
    <w:rsid w:val="00982935"/>
    <w:rsid w:val="00983B97"/>
    <w:rsid w:val="0099012B"/>
    <w:rsid w:val="00990471"/>
    <w:rsid w:val="009A34B0"/>
    <w:rsid w:val="009A703E"/>
    <w:rsid w:val="009C26E9"/>
    <w:rsid w:val="009C3ADB"/>
    <w:rsid w:val="009C47E0"/>
    <w:rsid w:val="009E2E2C"/>
    <w:rsid w:val="009F7271"/>
    <w:rsid w:val="00A2115C"/>
    <w:rsid w:val="00A229FA"/>
    <w:rsid w:val="00A314B0"/>
    <w:rsid w:val="00A36F04"/>
    <w:rsid w:val="00A458BF"/>
    <w:rsid w:val="00A60070"/>
    <w:rsid w:val="00A62C43"/>
    <w:rsid w:val="00A740DB"/>
    <w:rsid w:val="00AA1D15"/>
    <w:rsid w:val="00AC3D4D"/>
    <w:rsid w:val="00AD54CE"/>
    <w:rsid w:val="00AD7302"/>
    <w:rsid w:val="00B037A3"/>
    <w:rsid w:val="00B2249E"/>
    <w:rsid w:val="00B31D83"/>
    <w:rsid w:val="00B33605"/>
    <w:rsid w:val="00B3740C"/>
    <w:rsid w:val="00B3798D"/>
    <w:rsid w:val="00B43553"/>
    <w:rsid w:val="00B53064"/>
    <w:rsid w:val="00B547F2"/>
    <w:rsid w:val="00B73482"/>
    <w:rsid w:val="00B7695F"/>
    <w:rsid w:val="00B92AA5"/>
    <w:rsid w:val="00BA5B89"/>
    <w:rsid w:val="00BC2635"/>
    <w:rsid w:val="00BC364B"/>
    <w:rsid w:val="00C1593A"/>
    <w:rsid w:val="00C37D67"/>
    <w:rsid w:val="00C421DE"/>
    <w:rsid w:val="00C70E08"/>
    <w:rsid w:val="00CA7AE7"/>
    <w:rsid w:val="00CC3DF5"/>
    <w:rsid w:val="00CF11BB"/>
    <w:rsid w:val="00CF6CEC"/>
    <w:rsid w:val="00CF78A2"/>
    <w:rsid w:val="00D14CC7"/>
    <w:rsid w:val="00D16A63"/>
    <w:rsid w:val="00D31CE0"/>
    <w:rsid w:val="00D42D34"/>
    <w:rsid w:val="00D458EC"/>
    <w:rsid w:val="00D732AE"/>
    <w:rsid w:val="00D96E22"/>
    <w:rsid w:val="00DC38A1"/>
    <w:rsid w:val="00DC7304"/>
    <w:rsid w:val="00DD21D7"/>
    <w:rsid w:val="00DE0715"/>
    <w:rsid w:val="00DE1FE9"/>
    <w:rsid w:val="00DE52B9"/>
    <w:rsid w:val="00E22332"/>
    <w:rsid w:val="00E30D1F"/>
    <w:rsid w:val="00E317FD"/>
    <w:rsid w:val="00E34B1A"/>
    <w:rsid w:val="00E358B1"/>
    <w:rsid w:val="00E57F5F"/>
    <w:rsid w:val="00E66FBA"/>
    <w:rsid w:val="00E92EBE"/>
    <w:rsid w:val="00EC1159"/>
    <w:rsid w:val="00EC7177"/>
    <w:rsid w:val="00EC78D8"/>
    <w:rsid w:val="00ED1D53"/>
    <w:rsid w:val="00ED21CE"/>
    <w:rsid w:val="00EE6CCD"/>
    <w:rsid w:val="00EF33E8"/>
    <w:rsid w:val="00EF7E32"/>
    <w:rsid w:val="00F3012D"/>
    <w:rsid w:val="00F454B8"/>
    <w:rsid w:val="00F5464C"/>
    <w:rsid w:val="00F5491E"/>
    <w:rsid w:val="00F6679E"/>
    <w:rsid w:val="00F86769"/>
    <w:rsid w:val="00FA0F57"/>
    <w:rsid w:val="00FB025A"/>
    <w:rsid w:val="00FC60F7"/>
    <w:rsid w:val="00FD3649"/>
    <w:rsid w:val="00FE4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FB972-D7C3-4354-878B-2C3C52BD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117E85"/>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10690">
      <w:bodyDiv w:val="1"/>
      <w:marLeft w:val="0"/>
      <w:marRight w:val="0"/>
      <w:marTop w:val="0"/>
      <w:marBottom w:val="0"/>
      <w:divBdr>
        <w:top w:val="none" w:sz="0" w:space="0" w:color="auto"/>
        <w:left w:val="none" w:sz="0" w:space="0" w:color="auto"/>
        <w:bottom w:val="none" w:sz="0" w:space="0" w:color="auto"/>
        <w:right w:val="none" w:sz="0" w:space="0" w:color="auto"/>
      </w:divBdr>
    </w:div>
    <w:div w:id="951473837">
      <w:bodyDiv w:val="1"/>
      <w:marLeft w:val="0"/>
      <w:marRight w:val="0"/>
      <w:marTop w:val="0"/>
      <w:marBottom w:val="0"/>
      <w:divBdr>
        <w:top w:val="none" w:sz="0" w:space="0" w:color="auto"/>
        <w:left w:val="none" w:sz="0" w:space="0" w:color="auto"/>
        <w:bottom w:val="none" w:sz="0" w:space="0" w:color="auto"/>
        <w:right w:val="none" w:sz="0" w:space="0" w:color="auto"/>
      </w:divBdr>
    </w:div>
    <w:div w:id="1341355471">
      <w:bodyDiv w:val="1"/>
      <w:marLeft w:val="0"/>
      <w:marRight w:val="0"/>
      <w:marTop w:val="0"/>
      <w:marBottom w:val="0"/>
      <w:divBdr>
        <w:top w:val="none" w:sz="0" w:space="0" w:color="auto"/>
        <w:left w:val="none" w:sz="0" w:space="0" w:color="auto"/>
        <w:bottom w:val="none" w:sz="0" w:space="0" w:color="auto"/>
        <w:right w:val="none" w:sz="0" w:space="0" w:color="auto"/>
      </w:divBdr>
    </w:div>
    <w:div w:id="1584222405">
      <w:bodyDiv w:val="1"/>
      <w:marLeft w:val="0"/>
      <w:marRight w:val="0"/>
      <w:marTop w:val="0"/>
      <w:marBottom w:val="0"/>
      <w:divBdr>
        <w:top w:val="none" w:sz="0" w:space="0" w:color="auto"/>
        <w:left w:val="none" w:sz="0" w:space="0" w:color="auto"/>
        <w:bottom w:val="none" w:sz="0" w:space="0" w:color="auto"/>
        <w:right w:val="none" w:sz="0" w:space="0" w:color="auto"/>
      </w:divBdr>
    </w:div>
    <w:div w:id="17520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leste.Feather@lyrasis.org" TargetMode="External"/><Relationship Id="rId18" Type="http://schemas.openxmlformats.org/officeDocument/2006/relationships/hyperlink" Target="http://bit.ly/X61Rm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surveymonkey.com/s/DeGArchiveOrd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m/s/2015DeGFrontBacklist" TargetMode="External"/><Relationship Id="rId20" Type="http://schemas.openxmlformats.org/officeDocument/2006/relationships/hyperlink" Target="http://www.degruyter.com/page/9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X61RmW"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it.ly/2015DeGruyterUPresseBooks" TargetMode="External"/><Relationship Id="rId23" Type="http://schemas.openxmlformats.org/officeDocument/2006/relationships/header" Target="header2.xml"/><Relationship Id="rId10" Type="http://schemas.openxmlformats.org/officeDocument/2006/relationships/hyperlink" Target="https://www.surveymonkey.com/s/DeGArchiveOrders" TargetMode="External"/><Relationship Id="rId19" Type="http://schemas.openxmlformats.org/officeDocument/2006/relationships/hyperlink" Target="http://www.degruyter.com/page/909" TargetMode="External"/><Relationship Id="rId4" Type="http://schemas.openxmlformats.org/officeDocument/2006/relationships/webSettings" Target="webSettings.xml"/><Relationship Id="rId9" Type="http://schemas.openxmlformats.org/officeDocument/2006/relationships/hyperlink" Target="https://www.surveymonkey.com/s/2015DeGFrontBacklist" TargetMode="External"/><Relationship Id="rId14" Type="http://schemas.openxmlformats.org/officeDocument/2006/relationships/hyperlink" Target="mailto:Sharla.Lair@lyrasis.or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LYRASIS-Letterhead-Headquarters</Template>
  <TotalTime>6</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 Feather</cp:lastModifiedBy>
  <cp:revision>3</cp:revision>
  <cp:lastPrinted>2009-03-30T18:47:00Z</cp:lastPrinted>
  <dcterms:created xsi:type="dcterms:W3CDTF">2015-03-11T20:02:00Z</dcterms:created>
  <dcterms:modified xsi:type="dcterms:W3CDTF">2015-03-11T20:57:00Z</dcterms:modified>
</cp:coreProperties>
</file>